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A445" w14:textId="77777777" w:rsidR="002F4463" w:rsidRPr="00660A7B" w:rsidRDefault="002F4463" w:rsidP="005A7556">
      <w:pPr>
        <w:tabs>
          <w:tab w:val="center" w:pos="4680"/>
        </w:tabs>
        <w:ind w:right="-360"/>
        <w:jc w:val="center"/>
        <w:rPr>
          <w:b/>
          <w:sz w:val="24"/>
        </w:rPr>
      </w:pPr>
    </w:p>
    <w:p w14:paraId="72E0B132" w14:textId="5D2FCEA0" w:rsidR="002F4463" w:rsidRPr="00690054" w:rsidRDefault="002F4463" w:rsidP="005A7556">
      <w:pPr>
        <w:tabs>
          <w:tab w:val="center" w:pos="4680"/>
        </w:tabs>
        <w:ind w:right="-360"/>
        <w:jc w:val="center"/>
        <w:rPr>
          <w:b/>
          <w:sz w:val="32"/>
          <w:szCs w:val="32"/>
        </w:rPr>
      </w:pPr>
      <w:r w:rsidRPr="00690054">
        <w:rPr>
          <w:b/>
          <w:sz w:val="32"/>
          <w:szCs w:val="24"/>
        </w:rPr>
        <w:t>20</w:t>
      </w:r>
      <w:r w:rsidR="00DB68AB" w:rsidRPr="00690054">
        <w:rPr>
          <w:b/>
          <w:sz w:val="32"/>
          <w:szCs w:val="24"/>
        </w:rPr>
        <w:t>2</w:t>
      </w:r>
      <w:r w:rsidR="00AD4B7C">
        <w:rPr>
          <w:b/>
          <w:sz w:val="32"/>
          <w:szCs w:val="24"/>
        </w:rPr>
        <w:t>2</w:t>
      </w:r>
      <w:r w:rsidR="00984279" w:rsidRPr="00690054">
        <w:rPr>
          <w:b/>
          <w:sz w:val="32"/>
          <w:szCs w:val="24"/>
        </w:rPr>
        <w:t xml:space="preserve"> CDBG RHP</w:t>
      </w:r>
      <w:r w:rsidRPr="00690054">
        <w:rPr>
          <w:b/>
          <w:sz w:val="32"/>
          <w:szCs w:val="32"/>
        </w:rPr>
        <w:t xml:space="preserve"> Project Review Sheet</w:t>
      </w:r>
    </w:p>
    <w:p w14:paraId="38C8C65D" w14:textId="77777777" w:rsidR="00690054" w:rsidRPr="00660A7B" w:rsidRDefault="00690054" w:rsidP="005A7556">
      <w:pPr>
        <w:tabs>
          <w:tab w:val="center" w:pos="4680"/>
        </w:tabs>
        <w:ind w:right="-360"/>
        <w:jc w:val="center"/>
      </w:pPr>
    </w:p>
    <w:tbl>
      <w:tblPr>
        <w:tblStyle w:val="TableGrid"/>
        <w:tblW w:w="11075" w:type="dxa"/>
        <w:tblInd w:w="-860" w:type="dxa"/>
        <w:tblLook w:val="06A0" w:firstRow="1" w:lastRow="0" w:firstColumn="1" w:lastColumn="0" w:noHBand="1" w:noVBand="1"/>
      </w:tblPr>
      <w:tblGrid>
        <w:gridCol w:w="2790"/>
        <w:gridCol w:w="3245"/>
        <w:gridCol w:w="360"/>
        <w:gridCol w:w="3055"/>
        <w:gridCol w:w="1625"/>
      </w:tblGrid>
      <w:tr w:rsidR="00451A87" w14:paraId="76E74503" w14:textId="77777777" w:rsidTr="00690054">
        <w:tc>
          <w:tcPr>
            <w:tcW w:w="2790" w:type="dxa"/>
          </w:tcPr>
          <w:p w14:paraId="5F56BDFD" w14:textId="17DFFCAA" w:rsidR="00451A87" w:rsidRDefault="00451A87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3245" w:type="dxa"/>
          </w:tcPr>
          <w:p w14:paraId="1DC38986" w14:textId="1D6B20F8" w:rsidR="00451A87" w:rsidRDefault="00921354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FAHE</w:t>
            </w:r>
          </w:p>
        </w:tc>
        <w:tc>
          <w:tcPr>
            <w:tcW w:w="360" w:type="dxa"/>
          </w:tcPr>
          <w:p w14:paraId="717FA1C2" w14:textId="77777777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3055" w:type="dxa"/>
          </w:tcPr>
          <w:p w14:paraId="486D85A3" w14:textId="42769F6D" w:rsidR="00451A87" w:rsidRDefault="00451A87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Log No.</w:t>
            </w:r>
          </w:p>
        </w:tc>
        <w:tc>
          <w:tcPr>
            <w:tcW w:w="1625" w:type="dxa"/>
          </w:tcPr>
          <w:p w14:paraId="2CACA94A" w14:textId="67237138" w:rsidR="00451A87" w:rsidRDefault="00647B2B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22R-053</w:t>
            </w:r>
          </w:p>
        </w:tc>
      </w:tr>
      <w:tr w:rsidR="00451A87" w14:paraId="5F480004" w14:textId="77777777" w:rsidTr="00690054">
        <w:tc>
          <w:tcPr>
            <w:tcW w:w="2790" w:type="dxa"/>
          </w:tcPr>
          <w:p w14:paraId="214F68B9" w14:textId="6DCD1DBA" w:rsidR="00451A87" w:rsidRDefault="00451A87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Project Name:</w:t>
            </w:r>
          </w:p>
        </w:tc>
        <w:tc>
          <w:tcPr>
            <w:tcW w:w="3245" w:type="dxa"/>
          </w:tcPr>
          <w:p w14:paraId="7E713295" w14:textId="1115540F" w:rsidR="00451A87" w:rsidRDefault="00647B2B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Booneville Transitional Housing</w:t>
            </w:r>
          </w:p>
        </w:tc>
        <w:tc>
          <w:tcPr>
            <w:tcW w:w="360" w:type="dxa"/>
          </w:tcPr>
          <w:p w14:paraId="57AE72DE" w14:textId="77777777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3055" w:type="dxa"/>
          </w:tcPr>
          <w:p w14:paraId="5A79887C" w14:textId="5B266B50" w:rsidR="00451A87" w:rsidRDefault="00451A87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1625" w:type="dxa"/>
          </w:tcPr>
          <w:p w14:paraId="0375F516" w14:textId="73AF99B7" w:rsidR="00451A87" w:rsidRDefault="00647B2B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Madison</w:t>
            </w:r>
          </w:p>
        </w:tc>
      </w:tr>
      <w:tr w:rsidR="00D13413" w14:paraId="5DAB373A" w14:textId="77777777" w:rsidTr="00690054">
        <w:tc>
          <w:tcPr>
            <w:tcW w:w="2790" w:type="dxa"/>
          </w:tcPr>
          <w:p w14:paraId="5DF794A2" w14:textId="77777777" w:rsidR="00D13413" w:rsidRDefault="00D13413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3245" w:type="dxa"/>
          </w:tcPr>
          <w:p w14:paraId="7E0DF253" w14:textId="77777777" w:rsidR="00D13413" w:rsidRDefault="00D13413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360" w:type="dxa"/>
          </w:tcPr>
          <w:p w14:paraId="7816546F" w14:textId="77777777" w:rsidR="00D13413" w:rsidRDefault="00D13413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3055" w:type="dxa"/>
          </w:tcPr>
          <w:p w14:paraId="0BB210F3" w14:textId="2FACDCAF" w:rsidR="00D13413" w:rsidRDefault="00690054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Population</w:t>
            </w:r>
          </w:p>
        </w:tc>
        <w:tc>
          <w:tcPr>
            <w:tcW w:w="1625" w:type="dxa"/>
          </w:tcPr>
          <w:p w14:paraId="49410009" w14:textId="77777777" w:rsidR="00D13413" w:rsidRDefault="00D13413" w:rsidP="005A7556">
            <w:pPr>
              <w:ind w:right="-360"/>
              <w:jc w:val="both"/>
              <w:rPr>
                <w:sz w:val="24"/>
              </w:rPr>
            </w:pPr>
          </w:p>
        </w:tc>
      </w:tr>
      <w:tr w:rsidR="00451A87" w14:paraId="76181309" w14:textId="77777777" w:rsidTr="00690054">
        <w:tc>
          <w:tcPr>
            <w:tcW w:w="2790" w:type="dxa"/>
            <w:shd w:val="clear" w:color="auto" w:fill="F2F2F2" w:themeFill="background1" w:themeFillShade="F2"/>
          </w:tcPr>
          <w:p w14:paraId="68358E0A" w14:textId="350B3F44" w:rsidR="00451A87" w:rsidRPr="00243C46" w:rsidRDefault="00451A87" w:rsidP="005A7556">
            <w:pPr>
              <w:ind w:right="-360"/>
              <w:jc w:val="both"/>
              <w:rPr>
                <w:b/>
                <w:bCs/>
                <w:sz w:val="24"/>
              </w:rPr>
            </w:pPr>
            <w:r w:rsidRPr="00243C46">
              <w:rPr>
                <w:b/>
                <w:bCs/>
                <w:sz w:val="24"/>
              </w:rPr>
              <w:t>Funding Source</w:t>
            </w:r>
          </w:p>
        </w:tc>
        <w:tc>
          <w:tcPr>
            <w:tcW w:w="3245" w:type="dxa"/>
            <w:shd w:val="clear" w:color="auto" w:fill="F2F2F2" w:themeFill="background1" w:themeFillShade="F2"/>
          </w:tcPr>
          <w:p w14:paraId="699707BF" w14:textId="15882B19" w:rsidR="00451A87" w:rsidRPr="00243C46" w:rsidRDefault="00451A87" w:rsidP="00E20DFA">
            <w:pPr>
              <w:ind w:right="-360"/>
              <w:jc w:val="center"/>
              <w:rPr>
                <w:b/>
                <w:bCs/>
                <w:sz w:val="24"/>
              </w:rPr>
            </w:pPr>
            <w:r w:rsidRPr="00243C46">
              <w:rPr>
                <w:b/>
                <w:bCs/>
                <w:sz w:val="24"/>
              </w:rPr>
              <w:t>Amount</w:t>
            </w:r>
          </w:p>
        </w:tc>
        <w:tc>
          <w:tcPr>
            <w:tcW w:w="360" w:type="dxa"/>
          </w:tcPr>
          <w:p w14:paraId="62111CBA" w14:textId="77777777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3055" w:type="dxa"/>
          </w:tcPr>
          <w:p w14:paraId="4587EC74" w14:textId="7CD44795" w:rsidR="00451A87" w:rsidRDefault="00690054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Priority</w:t>
            </w:r>
          </w:p>
        </w:tc>
        <w:tc>
          <w:tcPr>
            <w:tcW w:w="1625" w:type="dxa"/>
          </w:tcPr>
          <w:p w14:paraId="0A86F2AA" w14:textId="77777777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</w:tr>
      <w:tr w:rsidR="00451A87" w14:paraId="49F1B331" w14:textId="77777777" w:rsidTr="00690054">
        <w:tc>
          <w:tcPr>
            <w:tcW w:w="2790" w:type="dxa"/>
            <w:shd w:val="clear" w:color="auto" w:fill="F2F2F2" w:themeFill="background1" w:themeFillShade="F2"/>
          </w:tcPr>
          <w:p w14:paraId="149F31B7" w14:textId="08A1B888" w:rsidR="00451A87" w:rsidRDefault="00451A87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CDBG</w:t>
            </w:r>
            <w:r w:rsidR="00647B2B">
              <w:rPr>
                <w:sz w:val="24"/>
              </w:rPr>
              <w:t>/RHP</w:t>
            </w:r>
          </w:p>
        </w:tc>
        <w:tc>
          <w:tcPr>
            <w:tcW w:w="3245" w:type="dxa"/>
            <w:shd w:val="clear" w:color="auto" w:fill="F2F2F2" w:themeFill="background1" w:themeFillShade="F2"/>
          </w:tcPr>
          <w:p w14:paraId="3A42ED42" w14:textId="68AF00B5" w:rsidR="00451A87" w:rsidRDefault="00647B2B" w:rsidP="00243C4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$600,000</w:t>
            </w:r>
          </w:p>
        </w:tc>
        <w:tc>
          <w:tcPr>
            <w:tcW w:w="360" w:type="dxa"/>
          </w:tcPr>
          <w:p w14:paraId="3494C429" w14:textId="77777777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3055" w:type="dxa"/>
          </w:tcPr>
          <w:p w14:paraId="4A3621CD" w14:textId="42BE9035" w:rsidR="00451A87" w:rsidRDefault="00690054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% of Other Funds to CDBG</w:t>
            </w:r>
          </w:p>
        </w:tc>
        <w:tc>
          <w:tcPr>
            <w:tcW w:w="1625" w:type="dxa"/>
          </w:tcPr>
          <w:p w14:paraId="19BB8533" w14:textId="6FA31F72" w:rsidR="00451A87" w:rsidRDefault="00647B2B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451A87" w14:paraId="3C01AA89" w14:textId="77777777" w:rsidTr="00690054">
        <w:tc>
          <w:tcPr>
            <w:tcW w:w="2790" w:type="dxa"/>
            <w:shd w:val="clear" w:color="auto" w:fill="F2F2F2" w:themeFill="background1" w:themeFillShade="F2"/>
          </w:tcPr>
          <w:p w14:paraId="58744B72" w14:textId="77777777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3245" w:type="dxa"/>
            <w:shd w:val="clear" w:color="auto" w:fill="F2F2F2" w:themeFill="background1" w:themeFillShade="F2"/>
          </w:tcPr>
          <w:p w14:paraId="007F3CCB" w14:textId="77777777" w:rsidR="00451A87" w:rsidRDefault="00451A87" w:rsidP="00243C4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360" w:type="dxa"/>
          </w:tcPr>
          <w:p w14:paraId="2C4BEC33" w14:textId="77777777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3055" w:type="dxa"/>
          </w:tcPr>
          <w:p w14:paraId="77B119B2" w14:textId="77777777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1625" w:type="dxa"/>
          </w:tcPr>
          <w:p w14:paraId="6033BDB5" w14:textId="77777777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</w:tr>
      <w:tr w:rsidR="00451A87" w14:paraId="6BA6F976" w14:textId="77777777" w:rsidTr="00690054">
        <w:tc>
          <w:tcPr>
            <w:tcW w:w="2790" w:type="dxa"/>
            <w:shd w:val="clear" w:color="auto" w:fill="F2F2F2" w:themeFill="background1" w:themeFillShade="F2"/>
          </w:tcPr>
          <w:p w14:paraId="26F8252F" w14:textId="682D32F3" w:rsidR="00451A87" w:rsidRPr="00243C46" w:rsidRDefault="00451A87" w:rsidP="005A7556">
            <w:pPr>
              <w:ind w:right="-360"/>
              <w:jc w:val="both"/>
              <w:rPr>
                <w:b/>
                <w:bCs/>
                <w:sz w:val="24"/>
              </w:rPr>
            </w:pPr>
            <w:r w:rsidRPr="00243C46">
              <w:rPr>
                <w:b/>
                <w:bCs/>
                <w:sz w:val="24"/>
              </w:rPr>
              <w:t>Other Funds</w:t>
            </w:r>
            <w:r w:rsidR="00647B2B">
              <w:rPr>
                <w:b/>
                <w:bCs/>
                <w:sz w:val="24"/>
              </w:rPr>
              <w:t xml:space="preserve"> – In-Kind</w:t>
            </w:r>
            <w:r w:rsidRPr="00243C46">
              <w:rPr>
                <w:b/>
                <w:bCs/>
                <w:sz w:val="24"/>
              </w:rPr>
              <w:t>:</w:t>
            </w:r>
          </w:p>
        </w:tc>
        <w:tc>
          <w:tcPr>
            <w:tcW w:w="3245" w:type="dxa"/>
            <w:shd w:val="clear" w:color="auto" w:fill="F2F2F2" w:themeFill="background1" w:themeFillShade="F2"/>
          </w:tcPr>
          <w:p w14:paraId="18B746A1" w14:textId="77777777" w:rsidR="00451A87" w:rsidRDefault="00451A87" w:rsidP="00243C4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360" w:type="dxa"/>
          </w:tcPr>
          <w:p w14:paraId="4A1D5E10" w14:textId="77777777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3055" w:type="dxa"/>
          </w:tcPr>
          <w:p w14:paraId="63AE61E7" w14:textId="166331D5" w:rsidR="00451A87" w:rsidRDefault="00690054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LMI (%)</w:t>
            </w:r>
          </w:p>
        </w:tc>
        <w:tc>
          <w:tcPr>
            <w:tcW w:w="1625" w:type="dxa"/>
          </w:tcPr>
          <w:p w14:paraId="33EECFCF" w14:textId="4CB3784B" w:rsidR="00451A87" w:rsidRDefault="00647B2B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51A87" w14:paraId="22F5B781" w14:textId="77777777" w:rsidTr="00690054">
        <w:tc>
          <w:tcPr>
            <w:tcW w:w="2790" w:type="dxa"/>
            <w:shd w:val="clear" w:color="auto" w:fill="F2F2F2" w:themeFill="background1" w:themeFillShade="F2"/>
          </w:tcPr>
          <w:p w14:paraId="7FBD05B8" w14:textId="1C02878E" w:rsidR="00451A87" w:rsidRDefault="00647B2B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PH Construction Mgt.</w:t>
            </w:r>
          </w:p>
        </w:tc>
        <w:tc>
          <w:tcPr>
            <w:tcW w:w="3245" w:type="dxa"/>
            <w:shd w:val="clear" w:color="auto" w:fill="F2F2F2" w:themeFill="background1" w:themeFillShade="F2"/>
          </w:tcPr>
          <w:p w14:paraId="11916CBE" w14:textId="0816CDCC" w:rsidR="00451A87" w:rsidRDefault="00647B2B" w:rsidP="00243C4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$40,500</w:t>
            </w:r>
          </w:p>
        </w:tc>
        <w:tc>
          <w:tcPr>
            <w:tcW w:w="360" w:type="dxa"/>
          </w:tcPr>
          <w:p w14:paraId="1305631B" w14:textId="77777777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3055" w:type="dxa"/>
          </w:tcPr>
          <w:p w14:paraId="50B7D17C" w14:textId="77777777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1625" w:type="dxa"/>
          </w:tcPr>
          <w:p w14:paraId="36EC513F" w14:textId="77777777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</w:tr>
      <w:tr w:rsidR="00451A87" w14:paraId="757CD8F1" w14:textId="77777777" w:rsidTr="00690054">
        <w:tc>
          <w:tcPr>
            <w:tcW w:w="2790" w:type="dxa"/>
            <w:shd w:val="clear" w:color="auto" w:fill="F2F2F2" w:themeFill="background1" w:themeFillShade="F2"/>
          </w:tcPr>
          <w:p w14:paraId="478D8CA1" w14:textId="53F83D1B" w:rsidR="00451A87" w:rsidRDefault="00647B2B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Addiction Recovery Care</w:t>
            </w:r>
          </w:p>
        </w:tc>
        <w:tc>
          <w:tcPr>
            <w:tcW w:w="3245" w:type="dxa"/>
            <w:shd w:val="clear" w:color="auto" w:fill="F2F2F2" w:themeFill="background1" w:themeFillShade="F2"/>
          </w:tcPr>
          <w:p w14:paraId="1C58E23E" w14:textId="24731996" w:rsidR="00451A87" w:rsidRDefault="00647B2B" w:rsidP="00243C4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$43,000</w:t>
            </w:r>
          </w:p>
        </w:tc>
        <w:tc>
          <w:tcPr>
            <w:tcW w:w="360" w:type="dxa"/>
          </w:tcPr>
          <w:p w14:paraId="18EC31A1" w14:textId="77777777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3055" w:type="dxa"/>
          </w:tcPr>
          <w:p w14:paraId="38389D71" w14:textId="4148020C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1625" w:type="dxa"/>
          </w:tcPr>
          <w:p w14:paraId="6EFCDB7A" w14:textId="02835EA1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</w:tr>
      <w:tr w:rsidR="006C290F" w14:paraId="456EB6F2" w14:textId="77777777" w:rsidTr="00704AEB">
        <w:tc>
          <w:tcPr>
            <w:tcW w:w="2790" w:type="dxa"/>
            <w:shd w:val="clear" w:color="auto" w:fill="F2F2F2" w:themeFill="background1" w:themeFillShade="F2"/>
          </w:tcPr>
          <w:p w14:paraId="1851CCEE" w14:textId="631F9F53" w:rsidR="006C290F" w:rsidRDefault="00647B2B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Land Donation</w:t>
            </w:r>
          </w:p>
        </w:tc>
        <w:tc>
          <w:tcPr>
            <w:tcW w:w="3245" w:type="dxa"/>
            <w:shd w:val="clear" w:color="auto" w:fill="F2F2F2" w:themeFill="background1" w:themeFillShade="F2"/>
          </w:tcPr>
          <w:p w14:paraId="152F82DC" w14:textId="6DE1BDD5" w:rsidR="006C290F" w:rsidRDefault="00647B2B" w:rsidP="00243C4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$10,000</w:t>
            </w:r>
          </w:p>
        </w:tc>
        <w:tc>
          <w:tcPr>
            <w:tcW w:w="360" w:type="dxa"/>
          </w:tcPr>
          <w:p w14:paraId="5ABBE579" w14:textId="77777777" w:rsidR="006C290F" w:rsidRDefault="006C290F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4680" w:type="dxa"/>
            <w:gridSpan w:val="2"/>
          </w:tcPr>
          <w:p w14:paraId="5F1861D9" w14:textId="6EAC7754" w:rsidR="006C290F" w:rsidRDefault="006C290F" w:rsidP="006C290F">
            <w:pPr>
              <w:ind w:right="-360"/>
              <w:jc w:val="center"/>
              <w:rPr>
                <w:sz w:val="24"/>
              </w:rPr>
            </w:pPr>
          </w:p>
        </w:tc>
      </w:tr>
      <w:tr w:rsidR="00451A87" w14:paraId="5130CD60" w14:textId="77777777" w:rsidTr="00690054">
        <w:tc>
          <w:tcPr>
            <w:tcW w:w="2790" w:type="dxa"/>
            <w:shd w:val="clear" w:color="auto" w:fill="F2F2F2" w:themeFill="background1" w:themeFillShade="F2"/>
          </w:tcPr>
          <w:p w14:paraId="74522760" w14:textId="77000B36" w:rsidR="00451A87" w:rsidRDefault="00647B2B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Sweat Equity </w:t>
            </w:r>
            <w:r w:rsidR="00921354">
              <w:rPr>
                <w:sz w:val="24"/>
              </w:rPr>
              <w:t>FAHE</w:t>
            </w:r>
          </w:p>
        </w:tc>
        <w:tc>
          <w:tcPr>
            <w:tcW w:w="3245" w:type="dxa"/>
            <w:shd w:val="clear" w:color="auto" w:fill="F2F2F2" w:themeFill="background1" w:themeFillShade="F2"/>
          </w:tcPr>
          <w:p w14:paraId="0EBD85FD" w14:textId="4E40340A" w:rsidR="00451A87" w:rsidRDefault="00647B2B" w:rsidP="00243C4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$2,500</w:t>
            </w:r>
          </w:p>
        </w:tc>
        <w:tc>
          <w:tcPr>
            <w:tcW w:w="360" w:type="dxa"/>
          </w:tcPr>
          <w:p w14:paraId="17C9F4FB" w14:textId="77777777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3055" w:type="dxa"/>
          </w:tcPr>
          <w:p w14:paraId="39C81242" w14:textId="77777777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1625" w:type="dxa"/>
          </w:tcPr>
          <w:p w14:paraId="4B7135FB" w14:textId="77777777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</w:tr>
      <w:tr w:rsidR="00451A87" w14:paraId="1A62BB87" w14:textId="77777777" w:rsidTr="00690054">
        <w:tc>
          <w:tcPr>
            <w:tcW w:w="2790" w:type="dxa"/>
            <w:shd w:val="clear" w:color="auto" w:fill="F2F2F2" w:themeFill="background1" w:themeFillShade="F2"/>
          </w:tcPr>
          <w:p w14:paraId="76A2806A" w14:textId="77777777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3245" w:type="dxa"/>
            <w:shd w:val="clear" w:color="auto" w:fill="F2F2F2" w:themeFill="background1" w:themeFillShade="F2"/>
          </w:tcPr>
          <w:p w14:paraId="53254C61" w14:textId="77777777" w:rsidR="00451A87" w:rsidRDefault="00451A87" w:rsidP="00243C4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360" w:type="dxa"/>
          </w:tcPr>
          <w:p w14:paraId="58F01867" w14:textId="77777777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3055" w:type="dxa"/>
          </w:tcPr>
          <w:p w14:paraId="0DE5083B" w14:textId="16AE046E" w:rsidR="00451A87" w:rsidRDefault="00690054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Funds Requested</w:t>
            </w:r>
          </w:p>
        </w:tc>
        <w:tc>
          <w:tcPr>
            <w:tcW w:w="1625" w:type="dxa"/>
          </w:tcPr>
          <w:p w14:paraId="2679669F" w14:textId="2F024FB2" w:rsidR="00451A87" w:rsidRDefault="00647B2B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$600,000</w:t>
            </w:r>
          </w:p>
        </w:tc>
      </w:tr>
      <w:tr w:rsidR="00451A87" w14:paraId="5353ED65" w14:textId="77777777" w:rsidTr="00690054">
        <w:tc>
          <w:tcPr>
            <w:tcW w:w="2790" w:type="dxa"/>
            <w:shd w:val="clear" w:color="auto" w:fill="F2F2F2" w:themeFill="background1" w:themeFillShade="F2"/>
          </w:tcPr>
          <w:p w14:paraId="51A57E5D" w14:textId="22D603B8" w:rsidR="00451A87" w:rsidRPr="00451A87" w:rsidRDefault="00451A87" w:rsidP="005A7556">
            <w:pPr>
              <w:ind w:right="-36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 Project Funds</w:t>
            </w:r>
          </w:p>
        </w:tc>
        <w:tc>
          <w:tcPr>
            <w:tcW w:w="3245" w:type="dxa"/>
            <w:shd w:val="clear" w:color="auto" w:fill="F2F2F2" w:themeFill="background1" w:themeFillShade="F2"/>
          </w:tcPr>
          <w:p w14:paraId="54EDA3EE" w14:textId="5240838E" w:rsidR="00451A87" w:rsidRDefault="00647B2B" w:rsidP="00243C4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$91,000</w:t>
            </w:r>
          </w:p>
        </w:tc>
        <w:tc>
          <w:tcPr>
            <w:tcW w:w="360" w:type="dxa"/>
          </w:tcPr>
          <w:p w14:paraId="3BB6BBC0" w14:textId="77777777" w:rsidR="00451A87" w:rsidRDefault="00451A87" w:rsidP="005A7556">
            <w:pPr>
              <w:ind w:right="-360"/>
              <w:jc w:val="both"/>
              <w:rPr>
                <w:sz w:val="24"/>
              </w:rPr>
            </w:pPr>
          </w:p>
        </w:tc>
        <w:tc>
          <w:tcPr>
            <w:tcW w:w="3055" w:type="dxa"/>
          </w:tcPr>
          <w:p w14:paraId="6C4D89DE" w14:textId="499D9285" w:rsidR="00451A87" w:rsidRDefault="00690054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Funds Recommended</w:t>
            </w:r>
          </w:p>
        </w:tc>
        <w:tc>
          <w:tcPr>
            <w:tcW w:w="1625" w:type="dxa"/>
          </w:tcPr>
          <w:p w14:paraId="75AEF0AC" w14:textId="6E868F28" w:rsidR="00451A87" w:rsidRDefault="00647B2B" w:rsidP="005A7556">
            <w:pPr>
              <w:ind w:right="-360"/>
              <w:jc w:val="both"/>
              <w:rPr>
                <w:sz w:val="24"/>
              </w:rPr>
            </w:pPr>
            <w:r>
              <w:rPr>
                <w:sz w:val="24"/>
              </w:rPr>
              <w:t>$600,000</w:t>
            </w:r>
          </w:p>
        </w:tc>
      </w:tr>
    </w:tbl>
    <w:p w14:paraId="30FACBF8" w14:textId="77777777" w:rsidR="00524B6C" w:rsidRPr="00660A7B" w:rsidRDefault="00524B6C" w:rsidP="005A7556">
      <w:pPr>
        <w:ind w:right="-360"/>
        <w:jc w:val="both"/>
        <w:rPr>
          <w:sz w:val="24"/>
        </w:rPr>
      </w:pPr>
    </w:p>
    <w:p w14:paraId="2E8C94DD" w14:textId="77777777" w:rsidR="008D29ED" w:rsidRDefault="008D29ED" w:rsidP="00477A0C">
      <w:pPr>
        <w:tabs>
          <w:tab w:val="left" w:pos="720"/>
          <w:tab w:val="left" w:pos="3690"/>
          <w:tab w:val="left" w:pos="5580"/>
        </w:tabs>
        <w:ind w:left="630" w:right="-360" w:hanging="630"/>
        <w:jc w:val="both"/>
        <w:rPr>
          <w:b/>
          <w:sz w:val="24"/>
          <w:u w:val="single"/>
        </w:rPr>
      </w:pPr>
    </w:p>
    <w:p w14:paraId="66540511" w14:textId="77777777" w:rsidR="00737912" w:rsidRDefault="005D6949" w:rsidP="00737912"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b/>
          <w:sz w:val="24"/>
        </w:rPr>
      </w:pPr>
      <w:r w:rsidRPr="00660A7B">
        <w:rPr>
          <w:b/>
          <w:sz w:val="24"/>
        </w:rPr>
        <w:t>PROJECT DESCRIPTION:</w:t>
      </w:r>
    </w:p>
    <w:p w14:paraId="4F183680" w14:textId="71FFCF71" w:rsidR="00737912" w:rsidRDefault="00921354" w:rsidP="00737912"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b/>
          <w:sz w:val="24"/>
        </w:rPr>
      </w:pPr>
      <w:r>
        <w:rPr>
          <w:sz w:val="22"/>
          <w:szCs w:val="22"/>
        </w:rPr>
        <w:t>FAHE</w:t>
      </w:r>
      <w:r w:rsidR="00C92564">
        <w:rPr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is requesting $600,000 to provide for the construction of one (1) energy-efficient duplex (two rental units) for transitional housing for LMI applicants at the property located at 87 Twin Meadows Road, Booneville, KY owned by</w:t>
      </w:r>
      <w:r w:rsidR="00C92564" w:rsidRPr="00C92564">
        <w:rPr>
          <w:spacing w:val="-4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Partnership Housing, Inc. in Booneville, Kentucky. This duplex will be part of a</w:t>
      </w:r>
      <w:r w:rsidR="00C92564" w:rsidRPr="00C92564">
        <w:rPr>
          <w:spacing w:val="-1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larger housing development located at the property. This project is designed to meet the needs of</w:t>
      </w:r>
      <w:r w:rsidR="00C92564" w:rsidRPr="00C92564">
        <w:rPr>
          <w:spacing w:val="-2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Owsley</w:t>
      </w:r>
      <w:r w:rsidR="00C92564" w:rsidRPr="00C92564">
        <w:rPr>
          <w:spacing w:val="-5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County</w:t>
      </w:r>
      <w:r w:rsidR="00C92564" w:rsidRPr="00C92564">
        <w:rPr>
          <w:spacing w:val="-5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residents for</w:t>
      </w:r>
      <w:r w:rsidR="00C92564" w:rsidRPr="00C92564">
        <w:rPr>
          <w:spacing w:val="-6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both</w:t>
      </w:r>
      <w:r w:rsidR="00C92564" w:rsidRPr="00C92564">
        <w:rPr>
          <w:spacing w:val="-5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affordable</w:t>
      </w:r>
      <w:r w:rsidR="00C92564" w:rsidRPr="00C92564">
        <w:rPr>
          <w:spacing w:val="-3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housing</w:t>
      </w:r>
      <w:r w:rsidR="00C92564" w:rsidRPr="00C92564">
        <w:rPr>
          <w:spacing w:val="-1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and</w:t>
      </w:r>
      <w:r w:rsidR="00C92564" w:rsidRPr="00C92564">
        <w:rPr>
          <w:spacing w:val="-5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for</w:t>
      </w:r>
      <w:r w:rsidR="00C92564" w:rsidRPr="00C92564">
        <w:rPr>
          <w:spacing w:val="-2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transitional housing</w:t>
      </w:r>
      <w:r w:rsidR="00C92564" w:rsidRPr="00C92564">
        <w:rPr>
          <w:spacing w:val="-5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for</w:t>
      </w:r>
      <w:r w:rsidR="00C92564" w:rsidRPr="00C92564">
        <w:rPr>
          <w:spacing w:val="-2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individuals</w:t>
      </w:r>
      <w:r w:rsidR="00C92564" w:rsidRPr="00C92564">
        <w:rPr>
          <w:spacing w:val="-4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 xml:space="preserve">exiting </w:t>
      </w:r>
      <w:r w:rsidR="00275CE8" w:rsidRPr="00C92564">
        <w:rPr>
          <w:sz w:val="22"/>
          <w:szCs w:val="22"/>
        </w:rPr>
        <w:t>substance use disorder (</w:t>
      </w:r>
      <w:r w:rsidR="00C92564" w:rsidRPr="00C92564">
        <w:rPr>
          <w:sz w:val="22"/>
          <w:szCs w:val="22"/>
        </w:rPr>
        <w:t>SUD) treatment and living in active recovery.</w:t>
      </w:r>
    </w:p>
    <w:p w14:paraId="23E73034" w14:textId="1ABFB67F" w:rsidR="00C92564" w:rsidRPr="00C92564" w:rsidRDefault="00921354" w:rsidP="00737912"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rPr>
          <w:b/>
          <w:sz w:val="24"/>
        </w:rPr>
      </w:pPr>
      <w:r>
        <w:rPr>
          <w:sz w:val="22"/>
          <w:szCs w:val="22"/>
        </w:rPr>
        <w:t>FAHE</w:t>
      </w:r>
      <w:r w:rsidR="00C92564" w:rsidRPr="00C92564">
        <w:rPr>
          <w:spacing w:val="-3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has chosen</w:t>
      </w:r>
      <w:r w:rsidR="00C92564" w:rsidRPr="00C92564">
        <w:rPr>
          <w:spacing w:val="-1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to</w:t>
      </w:r>
      <w:r w:rsidR="00C92564" w:rsidRPr="00C92564">
        <w:rPr>
          <w:spacing w:val="-1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partner</w:t>
      </w:r>
      <w:r w:rsidR="00C92564" w:rsidRPr="00C92564">
        <w:rPr>
          <w:spacing w:val="-2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with</w:t>
      </w:r>
      <w:r w:rsidR="00C92564" w:rsidRPr="00C92564">
        <w:rPr>
          <w:spacing w:val="-6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Partnership</w:t>
      </w:r>
      <w:r w:rsidR="00C92564" w:rsidRPr="00C92564">
        <w:rPr>
          <w:spacing w:val="-6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Housing</w:t>
      </w:r>
      <w:r w:rsidR="00C92564" w:rsidRPr="00C92564">
        <w:rPr>
          <w:spacing w:val="-6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which, as</w:t>
      </w:r>
      <w:r w:rsidR="00C92564" w:rsidRPr="00C92564">
        <w:rPr>
          <w:spacing w:val="-5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a</w:t>
      </w:r>
      <w:r w:rsidR="00C92564" w:rsidRPr="00C92564">
        <w:rPr>
          <w:spacing w:val="-3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long-time</w:t>
      </w:r>
      <w:r w:rsidR="00C92564" w:rsidRPr="00C92564">
        <w:rPr>
          <w:spacing w:val="-3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>Member</w:t>
      </w:r>
      <w:r w:rsidR="00C92564" w:rsidRPr="00C92564">
        <w:rPr>
          <w:spacing w:val="-7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 xml:space="preserve">of </w:t>
      </w:r>
      <w:r>
        <w:rPr>
          <w:sz w:val="22"/>
          <w:szCs w:val="22"/>
        </w:rPr>
        <w:t>FAHE</w:t>
      </w:r>
      <w:r w:rsidR="00C92564" w:rsidRPr="00C92564">
        <w:rPr>
          <w:sz w:val="22"/>
          <w:szCs w:val="22"/>
        </w:rPr>
        <w:t>, has demonstrated</w:t>
      </w:r>
      <w:r w:rsidR="00C92564" w:rsidRPr="00C92564">
        <w:rPr>
          <w:spacing w:val="-1"/>
          <w:sz w:val="22"/>
          <w:szCs w:val="22"/>
        </w:rPr>
        <w:t xml:space="preserve"> </w:t>
      </w:r>
      <w:r w:rsidR="00C92564" w:rsidRPr="00C92564">
        <w:rPr>
          <w:sz w:val="22"/>
          <w:szCs w:val="22"/>
        </w:rPr>
        <w:t xml:space="preserve">the capacity to develop affordable housing for residents of Owsley County and surrounding areas. </w:t>
      </w:r>
    </w:p>
    <w:p w14:paraId="3F76E9B4" w14:textId="77777777" w:rsidR="00F53A50" w:rsidRPr="00660A7B" w:rsidRDefault="00F53A50" w:rsidP="00D75413"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sz w:val="24"/>
        </w:rPr>
      </w:pPr>
    </w:p>
    <w:p w14:paraId="3B2A5965" w14:textId="77777777" w:rsidR="00737912" w:rsidRDefault="005D6949" w:rsidP="00737912"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b/>
          <w:sz w:val="24"/>
        </w:rPr>
      </w:pPr>
      <w:r w:rsidRPr="00660A7B">
        <w:rPr>
          <w:b/>
          <w:sz w:val="24"/>
        </w:rPr>
        <w:t>PROJECT NEED:</w:t>
      </w:r>
    </w:p>
    <w:p w14:paraId="54BD5E13" w14:textId="41704167" w:rsidR="00F53A50" w:rsidRDefault="00C92564" w:rsidP="00737912">
      <w:pPr>
        <w:tabs>
          <w:tab w:val="left" w:pos="-144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2"/>
        </w:rPr>
        <w:t>In 2018, Partnership Housing, Inc. (PH) commissioned a Market Study conducted by Valbridge Property Advisorsout of Louisville, Kentucky. Based on available data, the study showed that 29.1% of the Primary Market Area</w:t>
      </w:r>
      <w:r w:rsidR="005A6851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(PMA) is rent overburdened but felt that the data did not sufficiently detail the information and, therefore, the </w:t>
      </w:r>
      <w:r w:rsidR="00921354">
        <w:rPr>
          <w:rFonts w:ascii="TimesNewRomanPSMT" w:hAnsi="TimesNewRomanPSMT" w:cs="TimesNewRomanPSMT"/>
          <w:sz w:val="22"/>
          <w:szCs w:val="22"/>
        </w:rPr>
        <w:t>rent overburden</w:t>
      </w:r>
      <w:r>
        <w:rPr>
          <w:rFonts w:ascii="TimesNewRomanPSMT" w:hAnsi="TimesNewRomanPSMT" w:cs="TimesNewRomanPSMT"/>
          <w:sz w:val="22"/>
          <w:szCs w:val="22"/>
        </w:rPr>
        <w:t xml:space="preserve"> is understated. Additionally, the study showed that 6.31% of rental homes were substandard housing</w:t>
      </w:r>
      <w:r w:rsidR="00921354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and, as with the overburdened data, substandard data is understated based on the data available. The study</w:t>
      </w:r>
      <w:r w:rsidR="00921354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concluded a total capture rate of 36.7% in the PMA. However, the study states that there is adequate </w:t>
      </w:r>
      <w:r w:rsidR="00275CE8">
        <w:rPr>
          <w:rFonts w:ascii="TimesNewRomanPSMT" w:hAnsi="TimesNewRomanPSMT" w:cs="TimesNewRomanPSMT"/>
          <w:sz w:val="22"/>
          <w:szCs w:val="22"/>
        </w:rPr>
        <w:t>demand for</w:t>
      </w:r>
      <w:r w:rsidR="002D1A38">
        <w:rPr>
          <w:rFonts w:ascii="TimesNewRomanPSMT" w:hAnsi="TimesNewRomanPSMT" w:cs="TimesNewRomanPSMT"/>
          <w:sz w:val="22"/>
          <w:szCs w:val="22"/>
        </w:rPr>
        <w:t xml:space="preserve"> the</w:t>
      </w:r>
      <w:r>
        <w:rPr>
          <w:rFonts w:ascii="TimesNewRomanPSMT" w:hAnsi="TimesNewRomanPSMT" w:cs="TimesNewRomanPSMT"/>
          <w:sz w:val="22"/>
          <w:szCs w:val="22"/>
        </w:rPr>
        <w:t xml:space="preserve"> PMA due to the lack of competition or the availability of quality rental housing. PH has indicated a proposed</w:t>
      </w:r>
      <w:r w:rsidR="00737912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property to develop that is located within two miles of all essential resident services including, but not limited to,</w:t>
      </w:r>
      <w:r w:rsidR="00737912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governmental services, education, shopping, employment, and medical facilities.</w:t>
      </w:r>
    </w:p>
    <w:p w14:paraId="3DA87F55" w14:textId="77777777" w:rsidR="00F53A50" w:rsidRDefault="00F53A50" w:rsidP="00190F88">
      <w:pPr>
        <w:tabs>
          <w:tab w:val="left" w:pos="720"/>
        </w:tabs>
        <w:ind w:left="-720" w:right="-720"/>
        <w:jc w:val="both"/>
        <w:rPr>
          <w:sz w:val="24"/>
          <w:szCs w:val="24"/>
        </w:rPr>
      </w:pPr>
    </w:p>
    <w:p w14:paraId="31D56726" w14:textId="0C7C960E" w:rsidR="00732F4B" w:rsidRDefault="005D6949" w:rsidP="00C92564">
      <w:p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b/>
          <w:sz w:val="24"/>
        </w:rPr>
      </w:pPr>
      <w:r w:rsidRPr="00660A7B">
        <w:rPr>
          <w:b/>
          <w:sz w:val="24"/>
        </w:rPr>
        <w:t>NECESSARY AND REASONABLE:</w:t>
      </w:r>
      <w:r w:rsidR="008D3E15">
        <w:rPr>
          <w:b/>
          <w:sz w:val="24"/>
        </w:rPr>
        <w:t xml:space="preserve"> </w:t>
      </w:r>
      <w:r w:rsidR="008D3E15" w:rsidRPr="008D3E15">
        <w:rPr>
          <w:bCs/>
          <w:sz w:val="24"/>
        </w:rPr>
        <w:t>T</w:t>
      </w:r>
      <w:r w:rsidR="00C92564">
        <w:rPr>
          <w:rFonts w:ascii="TimesNewRomanPSMT" w:hAnsi="TimesNewRomanPSMT" w:cs="TimesNewRomanPSMT"/>
          <w:sz w:val="22"/>
          <w:szCs w:val="22"/>
        </w:rPr>
        <w:t>ransitional housing in the Owsley County area, adding a 2BR/2BA duplex able to house 16 residents will fill the</w:t>
      </w:r>
      <w:r w:rsidR="008D3E15">
        <w:rPr>
          <w:rFonts w:ascii="TimesNewRomanPSMT" w:hAnsi="TimesNewRomanPSMT" w:cs="TimesNewRomanPSMT"/>
          <w:sz w:val="22"/>
          <w:szCs w:val="22"/>
        </w:rPr>
        <w:t xml:space="preserve"> </w:t>
      </w:r>
      <w:r w:rsidR="00C92564">
        <w:rPr>
          <w:rFonts w:ascii="TimesNewRomanPSMT" w:hAnsi="TimesNewRomanPSMT" w:cs="TimesNewRomanPSMT"/>
          <w:sz w:val="22"/>
          <w:szCs w:val="22"/>
        </w:rPr>
        <w:t>gap in housing services needed for those exiting residential treatment and needing transitional housing. Arc</w:t>
      </w:r>
      <w:r w:rsidR="008D3E15">
        <w:rPr>
          <w:rFonts w:ascii="TimesNewRomanPSMT" w:hAnsi="TimesNewRomanPSMT" w:cs="TimesNewRomanPSMT"/>
          <w:sz w:val="22"/>
          <w:szCs w:val="22"/>
        </w:rPr>
        <w:t xml:space="preserve"> </w:t>
      </w:r>
      <w:r w:rsidR="00C92564">
        <w:rPr>
          <w:rFonts w:ascii="TimesNewRomanPSMT" w:hAnsi="TimesNewRomanPSMT" w:cs="TimesNewRomanPSMT"/>
          <w:sz w:val="22"/>
          <w:szCs w:val="22"/>
        </w:rPr>
        <w:t>provides a Crisis to Career approach that readies individuals to enter the workforce by combining drug treatment</w:t>
      </w:r>
      <w:r w:rsidR="008D3E15">
        <w:rPr>
          <w:rFonts w:ascii="TimesNewRomanPSMT" w:hAnsi="TimesNewRomanPSMT" w:cs="TimesNewRomanPSMT"/>
          <w:sz w:val="22"/>
          <w:szCs w:val="22"/>
        </w:rPr>
        <w:t xml:space="preserve"> </w:t>
      </w:r>
      <w:r w:rsidR="00C92564">
        <w:rPr>
          <w:rFonts w:ascii="TimesNewRomanPSMT" w:hAnsi="TimesNewRomanPSMT" w:cs="TimesNewRomanPSMT"/>
          <w:sz w:val="22"/>
          <w:szCs w:val="22"/>
        </w:rPr>
        <w:t xml:space="preserve">with vocational training that results in second-chance employment. By partnering with Addiction Recovery </w:t>
      </w:r>
      <w:r w:rsidR="008D3E15">
        <w:rPr>
          <w:rFonts w:ascii="TimesNewRomanPSMT" w:hAnsi="TimesNewRomanPSMT" w:cs="TimesNewRomanPSMT"/>
          <w:sz w:val="22"/>
          <w:szCs w:val="22"/>
        </w:rPr>
        <w:t>Care, Carpenter’s</w:t>
      </w:r>
      <w:r w:rsidR="00C92564">
        <w:rPr>
          <w:rFonts w:ascii="TimesNewRomanPSMT" w:hAnsi="TimesNewRomanPSMT" w:cs="TimesNewRomanPSMT"/>
          <w:sz w:val="22"/>
          <w:szCs w:val="22"/>
        </w:rPr>
        <w:t xml:space="preserve"> Village, and the Carpenter’s Village training program, this transitional housing facility can assist </w:t>
      </w:r>
      <w:r w:rsidR="008D3E15">
        <w:rPr>
          <w:rFonts w:ascii="TimesNewRomanPSMT" w:hAnsi="TimesNewRomanPSMT" w:cs="TimesNewRomanPSMT"/>
          <w:sz w:val="22"/>
          <w:szCs w:val="22"/>
        </w:rPr>
        <w:t>in providing</w:t>
      </w:r>
      <w:r w:rsidR="00C92564">
        <w:rPr>
          <w:rFonts w:ascii="TimesNewRomanPSMT" w:hAnsi="TimesNewRomanPSMT" w:cs="TimesNewRomanPSMT"/>
          <w:sz w:val="22"/>
          <w:szCs w:val="22"/>
        </w:rPr>
        <w:t xml:space="preserve"> wrap-around services and support as those in recovery take the next step toward </w:t>
      </w:r>
      <w:r w:rsidR="008D3E15">
        <w:rPr>
          <w:rFonts w:ascii="TimesNewRomanPSMT" w:hAnsi="TimesNewRomanPSMT" w:cs="TimesNewRomanPSMT"/>
          <w:sz w:val="22"/>
          <w:szCs w:val="22"/>
        </w:rPr>
        <w:t>independence, whether</w:t>
      </w:r>
      <w:r w:rsidR="00C92564">
        <w:rPr>
          <w:rFonts w:ascii="TimesNewRomanPSMT" w:hAnsi="TimesNewRomanPSMT" w:cs="TimesNewRomanPSMT"/>
          <w:sz w:val="22"/>
          <w:szCs w:val="22"/>
        </w:rPr>
        <w:t xml:space="preserve"> that step be an internship, placement as a peer support specialist or entry-level employee with Arc, or</w:t>
      </w:r>
      <w:r w:rsidR="008D3E15">
        <w:rPr>
          <w:rFonts w:ascii="TimesNewRomanPSMT" w:hAnsi="TimesNewRomanPSMT" w:cs="TimesNewRomanPSMT"/>
          <w:sz w:val="22"/>
          <w:szCs w:val="22"/>
        </w:rPr>
        <w:t xml:space="preserve"> </w:t>
      </w:r>
      <w:r w:rsidR="00C92564">
        <w:rPr>
          <w:rFonts w:ascii="TimesNewRomanPSMT" w:hAnsi="TimesNewRomanPSMT" w:cs="TimesNewRomanPSMT"/>
          <w:sz w:val="22"/>
          <w:szCs w:val="22"/>
        </w:rPr>
        <w:t>other internship or educational opportunities.</w:t>
      </w:r>
    </w:p>
    <w:p w14:paraId="62E2F824" w14:textId="77777777" w:rsidR="00732F4B" w:rsidRDefault="00732F4B" w:rsidP="00190F88">
      <w:p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b/>
          <w:sz w:val="24"/>
        </w:rPr>
      </w:pPr>
    </w:p>
    <w:p w14:paraId="73AF2173" w14:textId="2CE17339" w:rsidR="00187148" w:rsidRDefault="00190F88" w:rsidP="00187148">
      <w:pPr>
        <w:tabs>
          <w:tab w:val="left" w:pos="7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rFonts w:ascii="TimesNewRomanPSMT" w:hAnsi="TimesNewRomanPSMT" w:cs="TimesNewRomanPSMT"/>
          <w:sz w:val="22"/>
          <w:szCs w:val="22"/>
        </w:rPr>
      </w:pPr>
      <w:r w:rsidRPr="00FF5C86">
        <w:rPr>
          <w:b/>
          <w:sz w:val="24"/>
        </w:rPr>
        <w:t xml:space="preserve">EFFECTIVENESS: </w:t>
      </w:r>
      <w:r w:rsidR="00187148">
        <w:rPr>
          <w:rFonts w:ascii="TimesNewRomanPSMT" w:hAnsi="TimesNewRomanPSMT" w:cs="TimesNewRomanPSMT"/>
          <w:sz w:val="22"/>
          <w:szCs w:val="22"/>
        </w:rPr>
        <w:t>Opioid consumption in the country has drastically increased over the past several years, particularly during theCovid-19 pandemic, and Kentucky is no exception. Despite progress made in the years leading up to the</w:t>
      </w:r>
      <w:r w:rsidR="00921354">
        <w:rPr>
          <w:rFonts w:ascii="TimesNewRomanPSMT" w:hAnsi="TimesNewRomanPSMT" w:cs="TimesNewRomanPSMT"/>
          <w:sz w:val="22"/>
          <w:szCs w:val="22"/>
        </w:rPr>
        <w:t xml:space="preserve"> </w:t>
      </w:r>
      <w:r w:rsidR="00187148">
        <w:rPr>
          <w:rFonts w:ascii="TimesNewRomanPSMT" w:hAnsi="TimesNewRomanPSMT" w:cs="TimesNewRomanPSMT"/>
          <w:sz w:val="22"/>
          <w:szCs w:val="22"/>
        </w:rPr>
        <w:t>pandemic, Kentucky has faced an increase in Substance Use in the past two years. Reports show a 43% rise in</w:t>
      </w:r>
      <w:r w:rsidR="00921354">
        <w:rPr>
          <w:rFonts w:ascii="TimesNewRomanPSMT" w:hAnsi="TimesNewRomanPSMT" w:cs="TimesNewRomanPSMT"/>
          <w:sz w:val="22"/>
          <w:szCs w:val="22"/>
        </w:rPr>
        <w:t xml:space="preserve"> </w:t>
      </w:r>
      <w:r w:rsidR="00187148">
        <w:rPr>
          <w:rFonts w:ascii="TimesNewRomanPSMT" w:hAnsi="TimesNewRomanPSMT" w:cs="TimesNewRomanPSMT"/>
          <w:sz w:val="22"/>
          <w:szCs w:val="22"/>
        </w:rPr>
        <w:t>substance use in the past 2 years. The Centers for Disease Control (CDC) has identified the top 220 counties at risk of HIV and/or hepatitis C outbreaks due to the Opioid Epidemic. Out of the 220 counties, Owsley County ranks 12</w:t>
      </w:r>
      <w:r w:rsidR="00187148">
        <w:rPr>
          <w:rFonts w:ascii="TimesNewRomanPSMT" w:hAnsi="TimesNewRomanPSMT" w:cs="TimesNewRomanPSMT"/>
          <w:sz w:val="14"/>
          <w:szCs w:val="14"/>
        </w:rPr>
        <w:t>th</w:t>
      </w:r>
      <w:r w:rsidR="00187148">
        <w:rPr>
          <w:rFonts w:ascii="TimesNewRomanPSMT" w:hAnsi="TimesNewRomanPSMT" w:cs="TimesNewRomanPSMT"/>
          <w:sz w:val="22"/>
          <w:szCs w:val="22"/>
        </w:rPr>
        <w:t xml:space="preserve">, indicating an extremely </w:t>
      </w:r>
      <w:r w:rsidR="002D1A38">
        <w:rPr>
          <w:rFonts w:ascii="TimesNewRomanPSMT" w:hAnsi="TimesNewRomanPSMT" w:cs="TimesNewRomanPSMT"/>
          <w:sz w:val="22"/>
          <w:szCs w:val="22"/>
        </w:rPr>
        <w:t>elevated risk</w:t>
      </w:r>
      <w:r w:rsidR="00187148">
        <w:rPr>
          <w:rFonts w:ascii="TimesNewRomanPSMT" w:hAnsi="TimesNewRomanPSMT" w:cs="TimesNewRomanPSMT"/>
          <w:sz w:val="22"/>
          <w:szCs w:val="22"/>
        </w:rPr>
        <w:t xml:space="preserve"> of HIV and/or hepatitis C outbreak.</w:t>
      </w:r>
    </w:p>
    <w:p w14:paraId="571D25EE" w14:textId="1444F3E1" w:rsidR="002C2F2C" w:rsidRDefault="002C2F2C" w:rsidP="00190F88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350"/>
          <w:tab w:val="clear" w:pos="2160"/>
          <w:tab w:val="clear" w:pos="2880"/>
          <w:tab w:val="clear" w:pos="3600"/>
          <w:tab w:val="clear" w:pos="4320"/>
          <w:tab w:val="center" w:pos="4680"/>
        </w:tabs>
        <w:ind w:left="-720" w:right="-720"/>
        <w:rPr>
          <w:rFonts w:ascii="Times New Roman" w:hAnsi="Times New Roman"/>
          <w:noProof/>
        </w:rPr>
      </w:pPr>
    </w:p>
    <w:p w14:paraId="344CBF1A" w14:textId="77777777" w:rsidR="002C2F2C" w:rsidRDefault="002C2F2C" w:rsidP="00190F88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1350"/>
          <w:tab w:val="clear" w:pos="2160"/>
          <w:tab w:val="clear" w:pos="2880"/>
          <w:tab w:val="clear" w:pos="3600"/>
          <w:tab w:val="clear" w:pos="4320"/>
          <w:tab w:val="center" w:pos="4680"/>
        </w:tabs>
        <w:ind w:left="-720" w:right="-720"/>
        <w:rPr>
          <w:rFonts w:ascii="Times New Roman" w:hAnsi="Times New Roman"/>
          <w:noProof/>
        </w:rPr>
      </w:pPr>
    </w:p>
    <w:p w14:paraId="1D64D668" w14:textId="2A7597BD" w:rsidR="00F65F1A" w:rsidRDefault="00F65F1A" w:rsidP="00190F8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sz w:val="24"/>
        </w:rPr>
      </w:pPr>
      <w:r w:rsidRPr="00660A7B">
        <w:rPr>
          <w:b/>
          <w:sz w:val="24"/>
        </w:rPr>
        <w:t>STAFF COMMENTS:</w:t>
      </w:r>
      <w:r w:rsidRPr="00660A7B">
        <w:rPr>
          <w:sz w:val="24"/>
        </w:rPr>
        <w:t xml:space="preserve"> </w:t>
      </w:r>
    </w:p>
    <w:p w14:paraId="058DFA50" w14:textId="184F9D71" w:rsidR="005A7556" w:rsidRDefault="00921354" w:rsidP="0092135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 w:right="-720"/>
        <w:jc w:val="both"/>
        <w:rPr>
          <w:sz w:val="24"/>
        </w:rPr>
      </w:pPr>
      <w:r>
        <w:rPr>
          <w:sz w:val="24"/>
        </w:rPr>
        <w:t>Staff recommends this project for funding.</w:t>
      </w:r>
    </w:p>
    <w:p w14:paraId="5C859F0E" w14:textId="77777777" w:rsidR="00921354" w:rsidRDefault="00921354" w:rsidP="00477A0C">
      <w:pPr>
        <w:ind w:right="-630"/>
        <w:jc w:val="both"/>
        <w:rPr>
          <w:b/>
          <w:sz w:val="24"/>
          <w:szCs w:val="24"/>
        </w:rPr>
      </w:pPr>
    </w:p>
    <w:p w14:paraId="505EC426" w14:textId="5B22AE4D" w:rsidR="00477A0C" w:rsidRDefault="00477A0C" w:rsidP="00477A0C">
      <w:pPr>
        <w:ind w:right="-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Approved:</w:t>
      </w:r>
    </w:p>
    <w:p w14:paraId="5E97D5F9" w14:textId="77777777" w:rsidR="00477A0C" w:rsidRDefault="00477A0C" w:rsidP="00477A0C">
      <w:pPr>
        <w:ind w:right="-630"/>
        <w:jc w:val="both"/>
        <w:rPr>
          <w:b/>
          <w:sz w:val="24"/>
          <w:szCs w:val="24"/>
        </w:rPr>
      </w:pPr>
    </w:p>
    <w:p w14:paraId="01F88814" w14:textId="77777777" w:rsidR="00477A0C" w:rsidRDefault="00477A0C" w:rsidP="00477A0C">
      <w:pPr>
        <w:ind w:right="-630"/>
        <w:jc w:val="both"/>
        <w:rPr>
          <w:b/>
          <w:sz w:val="24"/>
          <w:szCs w:val="24"/>
        </w:rPr>
      </w:pPr>
    </w:p>
    <w:p w14:paraId="368919D8" w14:textId="41E3DEBE" w:rsidR="00477A0C" w:rsidRDefault="00755B40" w:rsidP="00477A0C">
      <w:pPr>
        <w:ind w:right="-630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F5BF57F" wp14:editId="75E5C3F4">
            <wp:extent cx="167640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6-26-2023</w:t>
      </w:r>
    </w:p>
    <w:p w14:paraId="44B13E40" w14:textId="77777777" w:rsidR="00477A0C" w:rsidRDefault="00477A0C" w:rsidP="00477A0C">
      <w:pPr>
        <w:ind w:right="-630"/>
        <w:jc w:val="both"/>
        <w:rPr>
          <w:b/>
          <w:sz w:val="24"/>
          <w:szCs w:val="24"/>
        </w:rPr>
      </w:pPr>
      <w:r w:rsidRPr="005C6F1E">
        <w:rPr>
          <w:sz w:val="24"/>
          <w:szCs w:val="24"/>
          <w:u w:val="single"/>
        </w:rPr>
        <w:t>________________________________</w:t>
      </w:r>
      <w:r w:rsidRPr="005C6F1E"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</w:t>
      </w:r>
    </w:p>
    <w:p w14:paraId="5EADF25E" w14:textId="77777777" w:rsidR="00477A0C" w:rsidRPr="005C6F1E" w:rsidRDefault="00477A0C" w:rsidP="00477A0C">
      <w:pPr>
        <w:ind w:right="-630"/>
        <w:jc w:val="both"/>
        <w:rPr>
          <w:b/>
          <w:sz w:val="24"/>
          <w:szCs w:val="24"/>
        </w:rPr>
      </w:pPr>
      <w:r>
        <w:rPr>
          <w:sz w:val="24"/>
          <w:szCs w:val="24"/>
        </w:rPr>
        <w:t>Commissioner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</w:t>
      </w:r>
    </w:p>
    <w:sectPr w:rsidR="00477A0C" w:rsidRPr="005C6F1E" w:rsidSect="00984279">
      <w:endnotePr>
        <w:numFmt w:val="decimal"/>
      </w:endnotePr>
      <w:type w:val="continuous"/>
      <w:pgSz w:w="12240" w:h="15840" w:code="1"/>
      <w:pgMar w:top="630" w:right="1440" w:bottom="630" w:left="1440" w:header="720" w:footer="0" w:gutter="0"/>
      <w:paperSrc w:first="280" w:other="28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22D5" w14:textId="77777777" w:rsidR="00CC36E9" w:rsidRDefault="00CC36E9">
      <w:r>
        <w:separator/>
      </w:r>
    </w:p>
  </w:endnote>
  <w:endnote w:type="continuationSeparator" w:id="0">
    <w:p w14:paraId="5478F21F" w14:textId="77777777" w:rsidR="00CC36E9" w:rsidRDefault="00CC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D6D1" w14:textId="77777777" w:rsidR="00CC36E9" w:rsidRDefault="00CC36E9">
      <w:r>
        <w:separator/>
      </w:r>
    </w:p>
  </w:footnote>
  <w:footnote w:type="continuationSeparator" w:id="0">
    <w:p w14:paraId="7806C64C" w14:textId="77777777" w:rsidR="00CC36E9" w:rsidRDefault="00CC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83B"/>
    <w:multiLevelType w:val="hybridMultilevel"/>
    <w:tmpl w:val="F2961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74681"/>
    <w:multiLevelType w:val="hybridMultilevel"/>
    <w:tmpl w:val="F2961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849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977593"/>
    <w:multiLevelType w:val="hybridMultilevel"/>
    <w:tmpl w:val="3678F9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922B2"/>
    <w:multiLevelType w:val="singleLevel"/>
    <w:tmpl w:val="992CCA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8475339"/>
    <w:multiLevelType w:val="hybridMultilevel"/>
    <w:tmpl w:val="D99004F4"/>
    <w:lvl w:ilvl="0" w:tplc="7952C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BB029F"/>
    <w:multiLevelType w:val="hybridMultilevel"/>
    <w:tmpl w:val="4CE4293C"/>
    <w:lvl w:ilvl="0" w:tplc="3B745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56237D"/>
    <w:multiLevelType w:val="hybridMultilevel"/>
    <w:tmpl w:val="A270110A"/>
    <w:lvl w:ilvl="0" w:tplc="97A4EEB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4040328">
    <w:abstractNumId w:val="2"/>
  </w:num>
  <w:num w:numId="2" w16cid:durableId="2116903339">
    <w:abstractNumId w:val="4"/>
  </w:num>
  <w:num w:numId="3" w16cid:durableId="607464633">
    <w:abstractNumId w:val="4"/>
    <w:lvlOverride w:ilvl="0">
      <w:startOverride w:val="1"/>
    </w:lvlOverride>
  </w:num>
  <w:num w:numId="4" w16cid:durableId="929628354">
    <w:abstractNumId w:val="3"/>
  </w:num>
  <w:num w:numId="5" w16cid:durableId="599878112">
    <w:abstractNumId w:val="2"/>
  </w:num>
  <w:num w:numId="6" w16cid:durableId="1915819412">
    <w:abstractNumId w:val="6"/>
  </w:num>
  <w:num w:numId="7" w16cid:durableId="1812552835">
    <w:abstractNumId w:val="1"/>
  </w:num>
  <w:num w:numId="8" w16cid:durableId="1300842893">
    <w:abstractNumId w:val="2"/>
    <w:lvlOverride w:ilvl="0">
      <w:startOverride w:val="1"/>
    </w:lvlOverride>
  </w:num>
  <w:num w:numId="9" w16cid:durableId="1603027390">
    <w:abstractNumId w:val="7"/>
  </w:num>
  <w:num w:numId="10" w16cid:durableId="327294024">
    <w:abstractNumId w:val="5"/>
  </w:num>
  <w:num w:numId="11" w16cid:durableId="41340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16"/>
    <w:rsid w:val="0000208C"/>
    <w:rsid w:val="00003D4D"/>
    <w:rsid w:val="00005A12"/>
    <w:rsid w:val="000101F6"/>
    <w:rsid w:val="00017F55"/>
    <w:rsid w:val="00021B10"/>
    <w:rsid w:val="00021E8E"/>
    <w:rsid w:val="0002409D"/>
    <w:rsid w:val="0002712B"/>
    <w:rsid w:val="00027B55"/>
    <w:rsid w:val="00027D13"/>
    <w:rsid w:val="0003025C"/>
    <w:rsid w:val="00033DBF"/>
    <w:rsid w:val="00035463"/>
    <w:rsid w:val="00042F6D"/>
    <w:rsid w:val="00043C4F"/>
    <w:rsid w:val="00044096"/>
    <w:rsid w:val="00052BF4"/>
    <w:rsid w:val="00056100"/>
    <w:rsid w:val="000574F1"/>
    <w:rsid w:val="0006027F"/>
    <w:rsid w:val="00062236"/>
    <w:rsid w:val="000665B3"/>
    <w:rsid w:val="00071970"/>
    <w:rsid w:val="000759EC"/>
    <w:rsid w:val="00085F99"/>
    <w:rsid w:val="00090B12"/>
    <w:rsid w:val="000B4709"/>
    <w:rsid w:val="000B5113"/>
    <w:rsid w:val="000B5156"/>
    <w:rsid w:val="000C5025"/>
    <w:rsid w:val="000D0DD7"/>
    <w:rsid w:val="000E087E"/>
    <w:rsid w:val="000E4098"/>
    <w:rsid w:val="000E57CF"/>
    <w:rsid w:val="000F0781"/>
    <w:rsid w:val="00101D03"/>
    <w:rsid w:val="00117416"/>
    <w:rsid w:val="001178A3"/>
    <w:rsid w:val="00143E84"/>
    <w:rsid w:val="001452CC"/>
    <w:rsid w:val="00152ED7"/>
    <w:rsid w:val="00153B3C"/>
    <w:rsid w:val="00160B01"/>
    <w:rsid w:val="0017291F"/>
    <w:rsid w:val="00174521"/>
    <w:rsid w:val="001752B2"/>
    <w:rsid w:val="00176797"/>
    <w:rsid w:val="00177872"/>
    <w:rsid w:val="00180D6A"/>
    <w:rsid w:val="00186506"/>
    <w:rsid w:val="00187148"/>
    <w:rsid w:val="00190F88"/>
    <w:rsid w:val="001A1E1A"/>
    <w:rsid w:val="001A5848"/>
    <w:rsid w:val="001B0789"/>
    <w:rsid w:val="001B2554"/>
    <w:rsid w:val="001B3DFB"/>
    <w:rsid w:val="001B57DA"/>
    <w:rsid w:val="001C0981"/>
    <w:rsid w:val="001C4FFF"/>
    <w:rsid w:val="001C5785"/>
    <w:rsid w:val="001D0960"/>
    <w:rsid w:val="001D1F45"/>
    <w:rsid w:val="001D407A"/>
    <w:rsid w:val="001E113C"/>
    <w:rsid w:val="001E5C53"/>
    <w:rsid w:val="001F0649"/>
    <w:rsid w:val="001F0EB8"/>
    <w:rsid w:val="0020297A"/>
    <w:rsid w:val="00216690"/>
    <w:rsid w:val="0023069A"/>
    <w:rsid w:val="002338B2"/>
    <w:rsid w:val="002338F1"/>
    <w:rsid w:val="0023494F"/>
    <w:rsid w:val="002364EB"/>
    <w:rsid w:val="00241917"/>
    <w:rsid w:val="00243C46"/>
    <w:rsid w:val="0024618E"/>
    <w:rsid w:val="00257BAE"/>
    <w:rsid w:val="0026513D"/>
    <w:rsid w:val="00271DCE"/>
    <w:rsid w:val="002733E5"/>
    <w:rsid w:val="002758B4"/>
    <w:rsid w:val="00275CE8"/>
    <w:rsid w:val="0028145F"/>
    <w:rsid w:val="0029433D"/>
    <w:rsid w:val="002A3AD2"/>
    <w:rsid w:val="002A6562"/>
    <w:rsid w:val="002B56A1"/>
    <w:rsid w:val="002C228C"/>
    <w:rsid w:val="002C2B63"/>
    <w:rsid w:val="002C2F2C"/>
    <w:rsid w:val="002D1A38"/>
    <w:rsid w:val="002D4C0A"/>
    <w:rsid w:val="002E0FE3"/>
    <w:rsid w:val="002E2861"/>
    <w:rsid w:val="002E77AF"/>
    <w:rsid w:val="002F2B0B"/>
    <w:rsid w:val="002F4463"/>
    <w:rsid w:val="002F505B"/>
    <w:rsid w:val="003007E2"/>
    <w:rsid w:val="0030302A"/>
    <w:rsid w:val="00305303"/>
    <w:rsid w:val="00307A72"/>
    <w:rsid w:val="0032012A"/>
    <w:rsid w:val="00321790"/>
    <w:rsid w:val="00321BEB"/>
    <w:rsid w:val="00326665"/>
    <w:rsid w:val="00331877"/>
    <w:rsid w:val="00332EB4"/>
    <w:rsid w:val="0033687B"/>
    <w:rsid w:val="00336B96"/>
    <w:rsid w:val="003474DC"/>
    <w:rsid w:val="00347716"/>
    <w:rsid w:val="003503C4"/>
    <w:rsid w:val="003522CF"/>
    <w:rsid w:val="00357566"/>
    <w:rsid w:val="00361E61"/>
    <w:rsid w:val="003651D5"/>
    <w:rsid w:val="00370A2F"/>
    <w:rsid w:val="0038266C"/>
    <w:rsid w:val="0038338E"/>
    <w:rsid w:val="00386E72"/>
    <w:rsid w:val="00386EDC"/>
    <w:rsid w:val="0039163A"/>
    <w:rsid w:val="00396AA3"/>
    <w:rsid w:val="003A414C"/>
    <w:rsid w:val="003A5046"/>
    <w:rsid w:val="003B0CC5"/>
    <w:rsid w:val="003B5CD8"/>
    <w:rsid w:val="003C2B1E"/>
    <w:rsid w:val="003D1A0F"/>
    <w:rsid w:val="003D4B8C"/>
    <w:rsid w:val="003D5FCA"/>
    <w:rsid w:val="003E0E67"/>
    <w:rsid w:val="003E6ADC"/>
    <w:rsid w:val="003F1146"/>
    <w:rsid w:val="003F1453"/>
    <w:rsid w:val="003F1D33"/>
    <w:rsid w:val="003F20CD"/>
    <w:rsid w:val="003F438E"/>
    <w:rsid w:val="003F5494"/>
    <w:rsid w:val="003F5EE6"/>
    <w:rsid w:val="003F6755"/>
    <w:rsid w:val="003F72F5"/>
    <w:rsid w:val="003F7CC7"/>
    <w:rsid w:val="00403F3E"/>
    <w:rsid w:val="004046CF"/>
    <w:rsid w:val="00407091"/>
    <w:rsid w:val="004121A7"/>
    <w:rsid w:val="00413D8A"/>
    <w:rsid w:val="004202A7"/>
    <w:rsid w:val="0042077A"/>
    <w:rsid w:val="00422CB5"/>
    <w:rsid w:val="0043351D"/>
    <w:rsid w:val="00433828"/>
    <w:rsid w:val="00440F7D"/>
    <w:rsid w:val="00445B19"/>
    <w:rsid w:val="00445C06"/>
    <w:rsid w:val="00447304"/>
    <w:rsid w:val="00451A87"/>
    <w:rsid w:val="00451E4F"/>
    <w:rsid w:val="00454705"/>
    <w:rsid w:val="004570EC"/>
    <w:rsid w:val="0046150F"/>
    <w:rsid w:val="004715F3"/>
    <w:rsid w:val="00472061"/>
    <w:rsid w:val="00473E99"/>
    <w:rsid w:val="00477A0C"/>
    <w:rsid w:val="00481D55"/>
    <w:rsid w:val="0048224A"/>
    <w:rsid w:val="0048269C"/>
    <w:rsid w:val="0048778C"/>
    <w:rsid w:val="00493596"/>
    <w:rsid w:val="0049431C"/>
    <w:rsid w:val="00497AF6"/>
    <w:rsid w:val="004A1E7F"/>
    <w:rsid w:val="004A2717"/>
    <w:rsid w:val="004A6246"/>
    <w:rsid w:val="004B673F"/>
    <w:rsid w:val="004C3685"/>
    <w:rsid w:val="004C5CEF"/>
    <w:rsid w:val="004C75B7"/>
    <w:rsid w:val="004D1D04"/>
    <w:rsid w:val="004D2CED"/>
    <w:rsid w:val="004D4840"/>
    <w:rsid w:val="004D5E84"/>
    <w:rsid w:val="004E305F"/>
    <w:rsid w:val="004F5CEE"/>
    <w:rsid w:val="004F67F5"/>
    <w:rsid w:val="004F781A"/>
    <w:rsid w:val="00507142"/>
    <w:rsid w:val="005208D0"/>
    <w:rsid w:val="0052230B"/>
    <w:rsid w:val="00524B6C"/>
    <w:rsid w:val="00541C58"/>
    <w:rsid w:val="00542442"/>
    <w:rsid w:val="0054659A"/>
    <w:rsid w:val="00546FF6"/>
    <w:rsid w:val="005503C0"/>
    <w:rsid w:val="00552B6E"/>
    <w:rsid w:val="00554001"/>
    <w:rsid w:val="005601EF"/>
    <w:rsid w:val="00567972"/>
    <w:rsid w:val="00570B48"/>
    <w:rsid w:val="00575B38"/>
    <w:rsid w:val="00583F6F"/>
    <w:rsid w:val="00586288"/>
    <w:rsid w:val="00587E99"/>
    <w:rsid w:val="005923D2"/>
    <w:rsid w:val="005A1BD0"/>
    <w:rsid w:val="005A5235"/>
    <w:rsid w:val="005A6851"/>
    <w:rsid w:val="005A7556"/>
    <w:rsid w:val="005B1C8C"/>
    <w:rsid w:val="005B4FF4"/>
    <w:rsid w:val="005B6BD3"/>
    <w:rsid w:val="005D1D22"/>
    <w:rsid w:val="005D273D"/>
    <w:rsid w:val="005D6949"/>
    <w:rsid w:val="005D6BFF"/>
    <w:rsid w:val="005E4B2E"/>
    <w:rsid w:val="005E587B"/>
    <w:rsid w:val="005E5993"/>
    <w:rsid w:val="005E63F0"/>
    <w:rsid w:val="005E6FD6"/>
    <w:rsid w:val="005F41FE"/>
    <w:rsid w:val="00603114"/>
    <w:rsid w:val="00607EBB"/>
    <w:rsid w:val="006120AB"/>
    <w:rsid w:val="006162B3"/>
    <w:rsid w:val="00616E7B"/>
    <w:rsid w:val="00621612"/>
    <w:rsid w:val="0062275B"/>
    <w:rsid w:val="006246A6"/>
    <w:rsid w:val="00640A8A"/>
    <w:rsid w:val="006449EC"/>
    <w:rsid w:val="006450EC"/>
    <w:rsid w:val="00645E2C"/>
    <w:rsid w:val="00647B2B"/>
    <w:rsid w:val="00652D72"/>
    <w:rsid w:val="00660A7B"/>
    <w:rsid w:val="0066511B"/>
    <w:rsid w:val="006673A9"/>
    <w:rsid w:val="00671597"/>
    <w:rsid w:val="0068030D"/>
    <w:rsid w:val="00680DFB"/>
    <w:rsid w:val="00685943"/>
    <w:rsid w:val="00690054"/>
    <w:rsid w:val="00696557"/>
    <w:rsid w:val="006973ED"/>
    <w:rsid w:val="006A06CC"/>
    <w:rsid w:val="006A0991"/>
    <w:rsid w:val="006A40C8"/>
    <w:rsid w:val="006A430D"/>
    <w:rsid w:val="006B5490"/>
    <w:rsid w:val="006B6AEE"/>
    <w:rsid w:val="006C14C0"/>
    <w:rsid w:val="006C290F"/>
    <w:rsid w:val="006C2C73"/>
    <w:rsid w:val="006C787C"/>
    <w:rsid w:val="006D5702"/>
    <w:rsid w:val="006D579E"/>
    <w:rsid w:val="006D72B5"/>
    <w:rsid w:val="006D7E18"/>
    <w:rsid w:val="006E061F"/>
    <w:rsid w:val="006F54BB"/>
    <w:rsid w:val="006F7941"/>
    <w:rsid w:val="007020AB"/>
    <w:rsid w:val="007048A1"/>
    <w:rsid w:val="00707617"/>
    <w:rsid w:val="007122A4"/>
    <w:rsid w:val="00714EEA"/>
    <w:rsid w:val="00723BC0"/>
    <w:rsid w:val="00726A2E"/>
    <w:rsid w:val="00732F4B"/>
    <w:rsid w:val="00737912"/>
    <w:rsid w:val="00742405"/>
    <w:rsid w:val="00744ED7"/>
    <w:rsid w:val="00744F71"/>
    <w:rsid w:val="0075460F"/>
    <w:rsid w:val="007551D9"/>
    <w:rsid w:val="00755B40"/>
    <w:rsid w:val="00765A7C"/>
    <w:rsid w:val="00767A36"/>
    <w:rsid w:val="00776C2C"/>
    <w:rsid w:val="00782D38"/>
    <w:rsid w:val="00782F70"/>
    <w:rsid w:val="00783935"/>
    <w:rsid w:val="007856D7"/>
    <w:rsid w:val="00790000"/>
    <w:rsid w:val="007A30BB"/>
    <w:rsid w:val="007C04AF"/>
    <w:rsid w:val="007C312A"/>
    <w:rsid w:val="007D0E99"/>
    <w:rsid w:val="007D12C9"/>
    <w:rsid w:val="007D693E"/>
    <w:rsid w:val="007D72F0"/>
    <w:rsid w:val="007F60EF"/>
    <w:rsid w:val="007F79E4"/>
    <w:rsid w:val="0081116D"/>
    <w:rsid w:val="0081168F"/>
    <w:rsid w:val="00812FEC"/>
    <w:rsid w:val="008213FD"/>
    <w:rsid w:val="00823BDD"/>
    <w:rsid w:val="00826518"/>
    <w:rsid w:val="0082687F"/>
    <w:rsid w:val="00831417"/>
    <w:rsid w:val="00831D03"/>
    <w:rsid w:val="00833D91"/>
    <w:rsid w:val="00840882"/>
    <w:rsid w:val="00846857"/>
    <w:rsid w:val="00846ECA"/>
    <w:rsid w:val="0086155C"/>
    <w:rsid w:val="00862D37"/>
    <w:rsid w:val="008656EA"/>
    <w:rsid w:val="00872CFC"/>
    <w:rsid w:val="008730E6"/>
    <w:rsid w:val="00876192"/>
    <w:rsid w:val="00876A49"/>
    <w:rsid w:val="0088224F"/>
    <w:rsid w:val="00882549"/>
    <w:rsid w:val="00884FBD"/>
    <w:rsid w:val="00893F24"/>
    <w:rsid w:val="00894DAD"/>
    <w:rsid w:val="008A1089"/>
    <w:rsid w:val="008A623D"/>
    <w:rsid w:val="008A7BE0"/>
    <w:rsid w:val="008B09A8"/>
    <w:rsid w:val="008B540B"/>
    <w:rsid w:val="008C05E4"/>
    <w:rsid w:val="008C2B2D"/>
    <w:rsid w:val="008C5155"/>
    <w:rsid w:val="008C5472"/>
    <w:rsid w:val="008D29ED"/>
    <w:rsid w:val="008D3E15"/>
    <w:rsid w:val="008D4DF1"/>
    <w:rsid w:val="008E0501"/>
    <w:rsid w:val="008E3214"/>
    <w:rsid w:val="008E397A"/>
    <w:rsid w:val="008E4A52"/>
    <w:rsid w:val="008E5FAC"/>
    <w:rsid w:val="008E7603"/>
    <w:rsid w:val="008F054B"/>
    <w:rsid w:val="008F35B9"/>
    <w:rsid w:val="00902019"/>
    <w:rsid w:val="00902F15"/>
    <w:rsid w:val="00903572"/>
    <w:rsid w:val="00903687"/>
    <w:rsid w:val="00904FC8"/>
    <w:rsid w:val="0090508B"/>
    <w:rsid w:val="00905B6B"/>
    <w:rsid w:val="00905CE3"/>
    <w:rsid w:val="009073F2"/>
    <w:rsid w:val="00911529"/>
    <w:rsid w:val="00921354"/>
    <w:rsid w:val="009258A8"/>
    <w:rsid w:val="00931717"/>
    <w:rsid w:val="009428D8"/>
    <w:rsid w:val="00942BFE"/>
    <w:rsid w:val="00961E46"/>
    <w:rsid w:val="009815AA"/>
    <w:rsid w:val="00984279"/>
    <w:rsid w:val="00984E3A"/>
    <w:rsid w:val="0098774E"/>
    <w:rsid w:val="0099162E"/>
    <w:rsid w:val="009A6993"/>
    <w:rsid w:val="009B2E65"/>
    <w:rsid w:val="009B41E5"/>
    <w:rsid w:val="009B4AAC"/>
    <w:rsid w:val="009B4D19"/>
    <w:rsid w:val="009C3C59"/>
    <w:rsid w:val="009C4D4D"/>
    <w:rsid w:val="009C5430"/>
    <w:rsid w:val="009E36DF"/>
    <w:rsid w:val="009E5D7F"/>
    <w:rsid w:val="009F33A5"/>
    <w:rsid w:val="00A00AF4"/>
    <w:rsid w:val="00A0121C"/>
    <w:rsid w:val="00A030C9"/>
    <w:rsid w:val="00A03541"/>
    <w:rsid w:val="00A039A2"/>
    <w:rsid w:val="00A172CA"/>
    <w:rsid w:val="00A173E1"/>
    <w:rsid w:val="00A24CD5"/>
    <w:rsid w:val="00A37D00"/>
    <w:rsid w:val="00A41B5F"/>
    <w:rsid w:val="00A4441F"/>
    <w:rsid w:val="00A515FA"/>
    <w:rsid w:val="00A52338"/>
    <w:rsid w:val="00A53283"/>
    <w:rsid w:val="00A657EB"/>
    <w:rsid w:val="00A759BD"/>
    <w:rsid w:val="00A75A36"/>
    <w:rsid w:val="00A81614"/>
    <w:rsid w:val="00A92C33"/>
    <w:rsid w:val="00AA2A99"/>
    <w:rsid w:val="00AB7081"/>
    <w:rsid w:val="00AC2FFB"/>
    <w:rsid w:val="00AD227E"/>
    <w:rsid w:val="00AD32A5"/>
    <w:rsid w:val="00AD4B7C"/>
    <w:rsid w:val="00AD62D4"/>
    <w:rsid w:val="00AD717A"/>
    <w:rsid w:val="00AE4CA3"/>
    <w:rsid w:val="00AF065C"/>
    <w:rsid w:val="00AF3593"/>
    <w:rsid w:val="00B00B49"/>
    <w:rsid w:val="00B037AD"/>
    <w:rsid w:val="00B051C1"/>
    <w:rsid w:val="00B1144A"/>
    <w:rsid w:val="00B13BED"/>
    <w:rsid w:val="00B21488"/>
    <w:rsid w:val="00B24356"/>
    <w:rsid w:val="00B24A49"/>
    <w:rsid w:val="00B273AD"/>
    <w:rsid w:val="00B27E8D"/>
    <w:rsid w:val="00B3445A"/>
    <w:rsid w:val="00B34F23"/>
    <w:rsid w:val="00B3637E"/>
    <w:rsid w:val="00B37FBE"/>
    <w:rsid w:val="00B404C4"/>
    <w:rsid w:val="00B434D2"/>
    <w:rsid w:val="00B45B9A"/>
    <w:rsid w:val="00B52A1A"/>
    <w:rsid w:val="00B535F0"/>
    <w:rsid w:val="00B54CC9"/>
    <w:rsid w:val="00B56E14"/>
    <w:rsid w:val="00B63CD5"/>
    <w:rsid w:val="00B6502A"/>
    <w:rsid w:val="00B709BF"/>
    <w:rsid w:val="00B74C60"/>
    <w:rsid w:val="00B806FC"/>
    <w:rsid w:val="00B87896"/>
    <w:rsid w:val="00B929B5"/>
    <w:rsid w:val="00B95EF2"/>
    <w:rsid w:val="00BA1B3E"/>
    <w:rsid w:val="00BA647E"/>
    <w:rsid w:val="00BA68BF"/>
    <w:rsid w:val="00BB18B9"/>
    <w:rsid w:val="00BB19E4"/>
    <w:rsid w:val="00BC475A"/>
    <w:rsid w:val="00BC55CB"/>
    <w:rsid w:val="00BC5FE0"/>
    <w:rsid w:val="00BE36BD"/>
    <w:rsid w:val="00BE43A6"/>
    <w:rsid w:val="00BE6E71"/>
    <w:rsid w:val="00BF2C23"/>
    <w:rsid w:val="00BF2C44"/>
    <w:rsid w:val="00BF2F46"/>
    <w:rsid w:val="00BF64DE"/>
    <w:rsid w:val="00BF69E2"/>
    <w:rsid w:val="00C07D90"/>
    <w:rsid w:val="00C15DF4"/>
    <w:rsid w:val="00C16685"/>
    <w:rsid w:val="00C25B36"/>
    <w:rsid w:val="00C31718"/>
    <w:rsid w:val="00C326AD"/>
    <w:rsid w:val="00C33DCB"/>
    <w:rsid w:val="00C42E96"/>
    <w:rsid w:val="00C4590A"/>
    <w:rsid w:val="00C51AAB"/>
    <w:rsid w:val="00C53663"/>
    <w:rsid w:val="00C56568"/>
    <w:rsid w:val="00C57687"/>
    <w:rsid w:val="00C6113E"/>
    <w:rsid w:val="00C65C68"/>
    <w:rsid w:val="00C73A36"/>
    <w:rsid w:val="00C75443"/>
    <w:rsid w:val="00C804A4"/>
    <w:rsid w:val="00C80AC1"/>
    <w:rsid w:val="00C80CFF"/>
    <w:rsid w:val="00C81AA6"/>
    <w:rsid w:val="00C920F5"/>
    <w:rsid w:val="00C92564"/>
    <w:rsid w:val="00C93D1E"/>
    <w:rsid w:val="00C95267"/>
    <w:rsid w:val="00C95DFC"/>
    <w:rsid w:val="00CA0865"/>
    <w:rsid w:val="00CA4F0D"/>
    <w:rsid w:val="00CA5129"/>
    <w:rsid w:val="00CB0A61"/>
    <w:rsid w:val="00CB3A8F"/>
    <w:rsid w:val="00CB7852"/>
    <w:rsid w:val="00CC0FC2"/>
    <w:rsid w:val="00CC36E9"/>
    <w:rsid w:val="00CC3E67"/>
    <w:rsid w:val="00CC7E30"/>
    <w:rsid w:val="00CD04E4"/>
    <w:rsid w:val="00CD41CA"/>
    <w:rsid w:val="00CD62E5"/>
    <w:rsid w:val="00CE425C"/>
    <w:rsid w:val="00CE5857"/>
    <w:rsid w:val="00CF61B5"/>
    <w:rsid w:val="00CF7E7B"/>
    <w:rsid w:val="00D0458F"/>
    <w:rsid w:val="00D048F1"/>
    <w:rsid w:val="00D06074"/>
    <w:rsid w:val="00D12178"/>
    <w:rsid w:val="00D13413"/>
    <w:rsid w:val="00D22CF1"/>
    <w:rsid w:val="00D237D7"/>
    <w:rsid w:val="00D25221"/>
    <w:rsid w:val="00D355AB"/>
    <w:rsid w:val="00D36723"/>
    <w:rsid w:val="00D43537"/>
    <w:rsid w:val="00D43FEF"/>
    <w:rsid w:val="00D45711"/>
    <w:rsid w:val="00D47D19"/>
    <w:rsid w:val="00D50576"/>
    <w:rsid w:val="00D51A2E"/>
    <w:rsid w:val="00D61F16"/>
    <w:rsid w:val="00D6351F"/>
    <w:rsid w:val="00D657C1"/>
    <w:rsid w:val="00D67D2F"/>
    <w:rsid w:val="00D67EE7"/>
    <w:rsid w:val="00D67FE3"/>
    <w:rsid w:val="00D75160"/>
    <w:rsid w:val="00D75413"/>
    <w:rsid w:val="00D76051"/>
    <w:rsid w:val="00D762F8"/>
    <w:rsid w:val="00D80847"/>
    <w:rsid w:val="00D80D40"/>
    <w:rsid w:val="00D81400"/>
    <w:rsid w:val="00D84FB7"/>
    <w:rsid w:val="00D87EB0"/>
    <w:rsid w:val="00D92B22"/>
    <w:rsid w:val="00DA25D8"/>
    <w:rsid w:val="00DA32F1"/>
    <w:rsid w:val="00DA5A91"/>
    <w:rsid w:val="00DB0F61"/>
    <w:rsid w:val="00DB68AB"/>
    <w:rsid w:val="00DB68BF"/>
    <w:rsid w:val="00DB7A32"/>
    <w:rsid w:val="00DC1A1A"/>
    <w:rsid w:val="00DC2B5F"/>
    <w:rsid w:val="00DC6694"/>
    <w:rsid w:val="00DC7C87"/>
    <w:rsid w:val="00DD6874"/>
    <w:rsid w:val="00DF5B60"/>
    <w:rsid w:val="00DF68D8"/>
    <w:rsid w:val="00DF70ED"/>
    <w:rsid w:val="00E01D1C"/>
    <w:rsid w:val="00E03243"/>
    <w:rsid w:val="00E10F37"/>
    <w:rsid w:val="00E14B6A"/>
    <w:rsid w:val="00E20731"/>
    <w:rsid w:val="00E20DFA"/>
    <w:rsid w:val="00E21FBF"/>
    <w:rsid w:val="00E23F45"/>
    <w:rsid w:val="00E2455E"/>
    <w:rsid w:val="00E25663"/>
    <w:rsid w:val="00E25D01"/>
    <w:rsid w:val="00E31AD4"/>
    <w:rsid w:val="00E32E0A"/>
    <w:rsid w:val="00E37C78"/>
    <w:rsid w:val="00E43517"/>
    <w:rsid w:val="00E5087E"/>
    <w:rsid w:val="00E51AFB"/>
    <w:rsid w:val="00E52562"/>
    <w:rsid w:val="00E64AA5"/>
    <w:rsid w:val="00E71803"/>
    <w:rsid w:val="00E76C7D"/>
    <w:rsid w:val="00E84963"/>
    <w:rsid w:val="00E903FE"/>
    <w:rsid w:val="00E943F4"/>
    <w:rsid w:val="00EA0DB3"/>
    <w:rsid w:val="00EA2E45"/>
    <w:rsid w:val="00EA3961"/>
    <w:rsid w:val="00EA52D5"/>
    <w:rsid w:val="00EB3E14"/>
    <w:rsid w:val="00EC0520"/>
    <w:rsid w:val="00EE1EC2"/>
    <w:rsid w:val="00EE43AC"/>
    <w:rsid w:val="00EE6AB4"/>
    <w:rsid w:val="00EE7D29"/>
    <w:rsid w:val="00EF5B59"/>
    <w:rsid w:val="00EF6831"/>
    <w:rsid w:val="00F309DC"/>
    <w:rsid w:val="00F361D2"/>
    <w:rsid w:val="00F37890"/>
    <w:rsid w:val="00F53A50"/>
    <w:rsid w:val="00F560D6"/>
    <w:rsid w:val="00F65F1A"/>
    <w:rsid w:val="00F742B6"/>
    <w:rsid w:val="00F7703B"/>
    <w:rsid w:val="00F9211E"/>
    <w:rsid w:val="00FA2CF8"/>
    <w:rsid w:val="00FA3D80"/>
    <w:rsid w:val="00FA5099"/>
    <w:rsid w:val="00FC595F"/>
    <w:rsid w:val="00FC7050"/>
    <w:rsid w:val="00FE0089"/>
    <w:rsid w:val="00FE28CE"/>
    <w:rsid w:val="00FE4AD4"/>
    <w:rsid w:val="00FF0EA1"/>
    <w:rsid w:val="00FF5BED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5FEEBA2"/>
  <w15:docId w15:val="{0E0528E2-26E1-41EB-BB43-577B8B8B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CED"/>
  </w:style>
  <w:style w:type="paragraph" w:styleId="Heading4">
    <w:name w:val="heading 4"/>
    <w:basedOn w:val="Normal"/>
    <w:next w:val="Normal"/>
    <w:qFormat/>
    <w:rsid w:val="004D2CED"/>
    <w:pPr>
      <w:keepNext/>
      <w:tabs>
        <w:tab w:val="left" w:pos="-1440"/>
        <w:tab w:val="left" w:pos="-720"/>
        <w:tab w:val="left" w:pos="0"/>
        <w:tab w:val="left" w:pos="72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Helvetica" w:hAnsi="Helvetica"/>
      <w:sz w:val="24"/>
    </w:rPr>
  </w:style>
  <w:style w:type="paragraph" w:styleId="Heading5">
    <w:name w:val="heading 5"/>
    <w:basedOn w:val="Normal"/>
    <w:next w:val="Normal"/>
    <w:qFormat/>
    <w:rsid w:val="004D2CED"/>
    <w:pPr>
      <w:keepNext/>
      <w:tabs>
        <w:tab w:val="left" w:pos="-1440"/>
        <w:tab w:val="left" w:pos="-720"/>
        <w:tab w:val="left" w:pos="0"/>
        <w:tab w:val="left" w:pos="720"/>
        <w:tab w:val="left" w:pos="135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4D2CED"/>
    <w:pPr>
      <w:keepNext/>
      <w:tabs>
        <w:tab w:val="center" w:pos="4680"/>
      </w:tabs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F65F1A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2CED"/>
    <w:pPr>
      <w:tabs>
        <w:tab w:val="left" w:pos="-1440"/>
        <w:tab w:val="left" w:pos="-720"/>
        <w:tab w:val="left" w:pos="0"/>
        <w:tab w:val="left" w:pos="72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Helvetica" w:hAnsi="Helvetica"/>
      <w:sz w:val="24"/>
    </w:rPr>
  </w:style>
  <w:style w:type="paragraph" w:styleId="Footer">
    <w:name w:val="footer"/>
    <w:basedOn w:val="Normal"/>
    <w:rsid w:val="004D2CE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4D2CED"/>
    <w:pPr>
      <w:ind w:left="1440" w:hanging="720"/>
      <w:jc w:val="both"/>
    </w:pPr>
    <w:rPr>
      <w:sz w:val="22"/>
    </w:rPr>
  </w:style>
  <w:style w:type="paragraph" w:styleId="Header">
    <w:name w:val="header"/>
    <w:basedOn w:val="Normal"/>
    <w:rsid w:val="004D2C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2CE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237D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258A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C93D1E"/>
    <w:rPr>
      <w:sz w:val="22"/>
    </w:rPr>
  </w:style>
  <w:style w:type="table" w:styleId="TableGrid">
    <w:name w:val="Table Grid"/>
    <w:basedOn w:val="TableNormal"/>
    <w:rsid w:val="0045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51A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LG Documents" ma:contentTypeID="0x010100DD81549B557B3044B885155E81CEFB8300BF4F60ED156CE94681D2DE44B6E56191" ma:contentTypeVersion="4" ma:contentTypeDescription="" ma:contentTypeScope="" ma:versionID="62c7944402671522f88bbc4e3bd282d6">
  <xsd:schema xmlns:xsd="http://www.w3.org/2001/XMLSchema" xmlns:xs="http://www.w3.org/2001/XMLSchema" xmlns:p="http://schemas.microsoft.com/office/2006/metadata/properties" xmlns:ns2="e1c8c58c-2a2c-4b83-bbaa-89d7d2189847" targetNamespace="http://schemas.microsoft.com/office/2006/metadata/properties" ma:root="true" ma:fieldsID="fb44e4ec72f82ce0b8cdc74ee62b7ace" ns2:_="">
    <xsd:import namespace="e1c8c58c-2a2c-4b83-bbaa-89d7d218984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ub-Section" minOccurs="0"/>
                <xsd:element ref="ns2:CDBG_x0020_Chapters" minOccurs="0"/>
                <xsd:element ref="ns2:Chapter_x0020_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c58c-2a2c-4b83-bbaa-89d7d218984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"/>
                    <xsd:enumeration value="Conference"/>
                    <xsd:enumeration value="County"/>
                    <xsd:enumeration value="Debt"/>
                    <xsd:enumeration value="eClearinghouse"/>
                    <xsd:enumeration value="Employee Resources"/>
                    <xsd:enumeration value="Federal Grants"/>
                    <xsd:enumeration value="Legal"/>
                    <xsd:enumeration value="State Grants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Document_x0020_Sub-Section" ma:index="9" nillable="true" ma:displayName="Document Sub-Section" ma:internalName="Document_x0020_Sub_x002d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"/>
                    <xsd:enumeration value="BABA"/>
                    <xsd:enumeration value="CDBG"/>
                    <xsd:enumeration value="City UFIR"/>
                    <xsd:enumeration value="Covid-19"/>
                    <xsd:enumeration value="Disaster"/>
                    <xsd:enumeration value="DRA"/>
                    <xsd:enumeration value="LWCF"/>
                    <xsd:enumeration value="NSP"/>
                    <xsd:enumeration value="RHP"/>
                    <xsd:enumeration value="RTP"/>
                    <xsd:enumeration value="Ethics Ordinances"/>
                    <xsd:enumeration value="Interlocal Agreements"/>
                    <xsd:enumeration value="Public-Private Partnerships"/>
                    <xsd:enumeration value="ADDs"/>
                    <xsd:enumeration value="Coal Development"/>
                    <xsd:enumeration value="Flood Control"/>
                    <xsd:enumeration value="Grant Program"/>
                    <xsd:enumeration value="Special Programs"/>
                    <xsd:enumeration value="2021 CDBG-DR Programs &amp; Projects"/>
                    <xsd:enumeration value="2022 CDBG-DR Programs &amp; Projects"/>
                    <xsd:enumeration value="CDBG Guidelines and Applications"/>
                    <xsd:enumeration value="CDBG Handbook"/>
                    <xsd:enumeration value="CDBG Handbook Only"/>
                    <xsd:enumeration value="CDBG Resources and Forms"/>
                    <xsd:enumeration value="CDBG-DR Performance Reports"/>
                    <xsd:enumeration value="City other downloads"/>
                    <xsd:enumeration value="City Statute Reports"/>
                    <xsd:enumeration value="City Tax Rates Info"/>
                    <xsd:enumeration value="Coal Severance"/>
                    <xsd:enumeration value="Local Government Debt"/>
                    <xsd:enumeration value="RDAAP"/>
                    <xsd:enumeration value="PRICE Program"/>
                  </xsd:restriction>
                </xsd:simpleType>
              </xsd:element>
            </xsd:sequence>
          </xsd:extension>
        </xsd:complexContent>
      </xsd:complexType>
    </xsd:element>
    <xsd:element name="CDBG_x0020_Chapters" ma:index="10" nillable="true" ma:displayName="CDBG Chapters" ma:format="Dropdown" ma:internalName="CDBG_x0020_Chapters">
      <xsd:simpleType>
        <xsd:restriction base="dms:Choice">
          <xsd:enumeration value="Chapter 00: Introduction"/>
          <xsd:enumeration value="Chapter 1: Project Administration"/>
          <xsd:enumeration value="Chapter 2: Environmental Review"/>
          <xsd:enumeration value="Chapter 3: Financial Management"/>
          <xsd:enumeration value="Chapter 4: Procurement"/>
          <xsd:enumeration value="Chapter 5: Contracting"/>
          <xsd:enumeration value="Chapter 6: Labor Standards and Construction Management"/>
          <xsd:enumeration value="Chapter 7: Fair Housing and Equal Opportunity"/>
          <xsd:enumeration value="Chapter 8: Relocation, Displacement and One-for-One Replacement"/>
          <xsd:enumeration value="Chapter 9: Acquisition"/>
          <xsd:enumeration value="Chapter 10: Housing"/>
          <xsd:enumeration value="Chapter 10: Duplication of Benefits"/>
          <xsd:enumeration value="Chapter 11: Green Building Requirements"/>
          <xsd:enumeration value="Chapter 11: Economic Development"/>
          <xsd:enumeration value="Chapter 12: Mitigation Requirements"/>
          <xsd:enumeration value="Chapter 12: Amendments and Monitoring"/>
          <xsd:enumeration value="Chapter 13: Close Out"/>
          <xsd:enumeration value="Chapter 13: Amendments and Monitoring"/>
          <xsd:enumeration value="Chapter 14: Project Closeout"/>
          <xsd:enumeration value="Chapter 15: Procedures to Detect Fraud, Waste and Abuse"/>
          <xsd:enumeration value="Guidelines"/>
          <xsd:enumeration value="Applications"/>
          <xsd:enumeration value="​​Administrative Forms"/>
          <xsd:enumeration value="Labor"/>
          <xsd:enumeration value="Fair Housing and Title VI"/>
          <xsd:enumeration value="Uniform Act​"/>
          <xsd:enumeration value="Environmental Review"/>
        </xsd:restriction>
      </xsd:simpleType>
    </xsd:element>
    <xsd:element name="Chapter_x0020_Rank" ma:index="11" nillable="true" ma:displayName="Chapter Rank" ma:format="Dropdown" ma:internalName="Chapter_x0020_Rank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1c8c58c-2a2c-4b83-bbaa-89d7d2189847">
      <Value>Federal Grants</Value>
    </Document_x0020_Type>
    <Chapter_x0020_Rank xmlns="e1c8c58c-2a2c-4b83-bbaa-89d7d2189847" xsi:nil="true"/>
    <CDBG_x0020_Chapters xmlns="e1c8c58c-2a2c-4b83-bbaa-89d7d2189847" xsi:nil="true"/>
    <Document_x0020_Sub-Section xmlns="e1c8c58c-2a2c-4b83-bbaa-89d7d2189847">
      <Value>RHP</Value>
    </Document_x0020_Sub-Section>
  </documentManagement>
</p:properties>
</file>

<file path=customXml/itemProps1.xml><?xml version="1.0" encoding="utf-8"?>
<ds:datastoreItem xmlns:ds="http://schemas.openxmlformats.org/officeDocument/2006/customXml" ds:itemID="{AD8A3B42-360D-4CC4-9114-53B26AC109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32E70-2BC8-4096-89F9-7FB04DD8FCCF}"/>
</file>

<file path=customXml/itemProps3.xml><?xml version="1.0" encoding="utf-8"?>
<ds:datastoreItem xmlns:ds="http://schemas.openxmlformats.org/officeDocument/2006/customXml" ds:itemID="{E022EE0C-DEB4-4256-B76B-E8406D725CF9}"/>
</file>

<file path=customXml/itemProps4.xml><?xml version="1.0" encoding="utf-8"?>
<ds:datastoreItem xmlns:ds="http://schemas.openxmlformats.org/officeDocument/2006/customXml" ds:itemID="{83D3897B-0CCA-4505-8554-E09CC3056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Pre-Submission Approval Date: September 9, 2004</vt:lpstr>
    </vt:vector>
  </TitlesOfParts>
  <Company>Department for Local Government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22R-053 Booneville Transitional Housing write-up - signed</dc:title>
  <dc:creator>Weber, Travis (DLG)</dc:creator>
  <cp:lastModifiedBy>Williams, Mark P (DLG)</cp:lastModifiedBy>
  <cp:revision>3</cp:revision>
  <cp:lastPrinted>2019-11-21T14:42:00Z</cp:lastPrinted>
  <dcterms:created xsi:type="dcterms:W3CDTF">2023-06-27T20:00:00Z</dcterms:created>
  <dcterms:modified xsi:type="dcterms:W3CDTF">2023-07-06T18:35:00Z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0x010100DD81549B557B3044B885155E81CEFB8300BF4F60ED156CE94681D2DE44B6E56191</vt:lpwstr>
  </property>
</Properties>
</file>